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CDD83" w14:textId="77777777" w:rsidR="003F7158" w:rsidRDefault="003F7158">
      <w:pPr>
        <w:rPr>
          <w:b/>
          <w:bCs/>
          <w:sz w:val="28"/>
          <w:szCs w:val="28"/>
        </w:rPr>
      </w:pPr>
      <w:r>
        <w:rPr>
          <w:b/>
          <w:bCs/>
          <w:sz w:val="28"/>
          <w:szCs w:val="28"/>
        </w:rPr>
        <w:t>MEMORANDUM</w:t>
      </w:r>
    </w:p>
    <w:p w14:paraId="3E8EC819" w14:textId="77777777" w:rsidR="003F7158" w:rsidRPr="0050765A" w:rsidRDefault="003F7158">
      <w:pPr>
        <w:rPr>
          <w:b/>
          <w:bCs/>
        </w:rPr>
      </w:pPr>
    </w:p>
    <w:p w14:paraId="539789AA" w14:textId="3CB8BB55" w:rsidR="003F7158" w:rsidRPr="0050765A" w:rsidRDefault="003F7158">
      <w:pPr>
        <w:rPr>
          <w:b/>
          <w:bCs/>
        </w:rPr>
      </w:pPr>
      <w:r w:rsidRPr="0050765A">
        <w:rPr>
          <w:b/>
          <w:bCs/>
        </w:rPr>
        <w:t>DATE:</w:t>
      </w:r>
      <w:r>
        <w:rPr>
          <w:b/>
          <w:bCs/>
        </w:rPr>
        <w:tab/>
      </w:r>
      <w:r>
        <w:rPr>
          <w:b/>
          <w:bCs/>
        </w:rPr>
        <w:tab/>
        <w:t>12/20/19</w:t>
      </w:r>
    </w:p>
    <w:p w14:paraId="40436EDE" w14:textId="77777777" w:rsidR="003F7158" w:rsidRDefault="003F7158">
      <w:pPr>
        <w:rPr>
          <w:b/>
          <w:bCs/>
        </w:rPr>
      </w:pPr>
      <w:r w:rsidRPr="0050765A">
        <w:rPr>
          <w:b/>
          <w:bCs/>
        </w:rPr>
        <w:t>TO:</w:t>
      </w:r>
      <w:r>
        <w:rPr>
          <w:b/>
          <w:bCs/>
        </w:rPr>
        <w:tab/>
      </w:r>
      <w:r>
        <w:rPr>
          <w:b/>
          <w:bCs/>
        </w:rPr>
        <w:tab/>
        <w:t>Evaluation Committee</w:t>
      </w:r>
    </w:p>
    <w:p w14:paraId="602E8AF6" w14:textId="75DA9677" w:rsidR="003F7158" w:rsidRPr="0050765A" w:rsidRDefault="003F7158">
      <w:pPr>
        <w:rPr>
          <w:b/>
          <w:bCs/>
        </w:rPr>
      </w:pPr>
      <w:r>
        <w:rPr>
          <w:b/>
          <w:bCs/>
        </w:rPr>
        <w:t xml:space="preserve">Cc:  </w:t>
      </w:r>
      <w:r>
        <w:rPr>
          <w:b/>
          <w:bCs/>
        </w:rPr>
        <w:tab/>
      </w:r>
      <w:r>
        <w:rPr>
          <w:b/>
          <w:bCs/>
        </w:rPr>
        <w:tab/>
        <w:t>Companies, Michael Li</w:t>
      </w:r>
      <w:r w:rsidR="0050765A">
        <w:rPr>
          <w:b/>
          <w:bCs/>
        </w:rPr>
        <w:t>,</w:t>
      </w:r>
      <w:r>
        <w:rPr>
          <w:b/>
          <w:bCs/>
        </w:rPr>
        <w:t xml:space="preserve"> DEEP </w:t>
      </w:r>
    </w:p>
    <w:p w14:paraId="7237C0B9" w14:textId="786D9CFE" w:rsidR="003F7158" w:rsidRPr="0050765A" w:rsidRDefault="003F7158">
      <w:pPr>
        <w:rPr>
          <w:b/>
          <w:bCs/>
        </w:rPr>
      </w:pPr>
      <w:r w:rsidRPr="0050765A">
        <w:rPr>
          <w:b/>
          <w:bCs/>
        </w:rPr>
        <w:t>FROM:</w:t>
      </w:r>
      <w:r>
        <w:rPr>
          <w:b/>
          <w:bCs/>
        </w:rPr>
        <w:tab/>
      </w:r>
      <w:r>
        <w:rPr>
          <w:b/>
          <w:bCs/>
        </w:rPr>
        <w:tab/>
        <w:t>EA Team</w:t>
      </w:r>
    </w:p>
    <w:p w14:paraId="50521F5C" w14:textId="3EA634C6" w:rsidR="003F7158" w:rsidRPr="0050765A" w:rsidRDefault="003F7158">
      <w:pPr>
        <w:rPr>
          <w:b/>
          <w:bCs/>
        </w:rPr>
      </w:pPr>
      <w:r w:rsidRPr="0050765A">
        <w:rPr>
          <w:b/>
          <w:bCs/>
        </w:rPr>
        <w:t>SUBJECT:</w:t>
      </w:r>
      <w:r>
        <w:rPr>
          <w:b/>
          <w:bCs/>
        </w:rPr>
        <w:tab/>
        <w:t xml:space="preserve">Resolution of Issue of Treatment of Evaluation Studies in 2020 PSD and C&amp;LM Planning </w:t>
      </w:r>
    </w:p>
    <w:p w14:paraId="3A95870A" w14:textId="094364E7" w:rsidR="003F7158" w:rsidRDefault="003F7158">
      <w:pPr>
        <w:rPr>
          <w:b/>
          <w:bCs/>
        </w:rPr>
      </w:pPr>
    </w:p>
    <w:p w14:paraId="08DB7757" w14:textId="7838FDF8" w:rsidR="003F7158" w:rsidRPr="003D3FC2" w:rsidRDefault="003F7158" w:rsidP="0050765A">
      <w:r w:rsidRPr="0050765A">
        <w:t xml:space="preserve">As mentioned in our 11/14/19 memo to the Evaluation Committee, </w:t>
      </w:r>
      <w:r>
        <w:t>t</w:t>
      </w:r>
      <w:r w:rsidRPr="003D3FC2">
        <w:t xml:space="preserve">he Evaluation Roadmap </w:t>
      </w:r>
      <w:r>
        <w:t xml:space="preserve">calls for </w:t>
      </w:r>
      <w:r w:rsidRPr="003D3FC2">
        <w:t>a back-and-forth process for checks on the incorporation of results of the Evaluation Studies into the PSD.  At a high level, the overall steps are:</w:t>
      </w:r>
    </w:p>
    <w:p w14:paraId="667DF42F" w14:textId="77777777" w:rsidR="003F7158" w:rsidRPr="003D3FC2" w:rsidRDefault="003F7158" w:rsidP="003F7158">
      <w:pPr>
        <w:pStyle w:val="ListParagraph"/>
        <w:numPr>
          <w:ilvl w:val="0"/>
          <w:numId w:val="2"/>
        </w:numPr>
        <w:spacing w:after="0"/>
      </w:pPr>
      <w:r w:rsidRPr="003D3FC2">
        <w:t xml:space="preserve">Evaluation results provided, with clear recommendations for updates to the PSD and program planning; </w:t>
      </w:r>
    </w:p>
    <w:p w14:paraId="090D9608" w14:textId="77777777" w:rsidR="003F7158" w:rsidRPr="003D3FC2" w:rsidRDefault="003F7158" w:rsidP="003F7158">
      <w:pPr>
        <w:pStyle w:val="ListParagraph"/>
        <w:numPr>
          <w:ilvl w:val="0"/>
          <w:numId w:val="2"/>
        </w:numPr>
        <w:spacing w:after="0"/>
      </w:pPr>
      <w:r w:rsidRPr="003D3FC2">
        <w:t xml:space="preserve">The Companies provide memos detailing how they plan to incorporate the results and recommendations into the PSD and identifying results and recommendations they do not plan to incorporate and why (at least 30 days before the results are needed for the PSD and planning process); </w:t>
      </w:r>
    </w:p>
    <w:p w14:paraId="6941540C" w14:textId="0E0B0D33" w:rsidR="003F7158" w:rsidRDefault="003F7158" w:rsidP="003F7158">
      <w:pPr>
        <w:pStyle w:val="ListParagraph"/>
        <w:numPr>
          <w:ilvl w:val="0"/>
          <w:numId w:val="2"/>
        </w:numPr>
        <w:spacing w:after="0"/>
      </w:pPr>
      <w:r w:rsidRPr="003D3FC2">
        <w:t>EA Team responds to the memos identifying whether the treatment of the results and recommendations from the evaluations into the PSD is adequate or not.</w:t>
      </w:r>
    </w:p>
    <w:p w14:paraId="590612BA" w14:textId="2EF2A209" w:rsidR="00BC1F12" w:rsidRPr="003D3FC2" w:rsidRDefault="00BC1F12" w:rsidP="003F7158">
      <w:pPr>
        <w:pStyle w:val="ListParagraph"/>
        <w:numPr>
          <w:ilvl w:val="0"/>
          <w:numId w:val="2"/>
        </w:numPr>
        <w:spacing w:after="0"/>
      </w:pPr>
      <w:r>
        <w:t>The EA team presents this to the Evaluation Committee.</w:t>
      </w:r>
    </w:p>
    <w:p w14:paraId="0A423178" w14:textId="77777777" w:rsidR="003F7158" w:rsidRPr="003D3FC2" w:rsidRDefault="003F7158" w:rsidP="003F7158"/>
    <w:p w14:paraId="28708BA8" w14:textId="082BC280" w:rsidR="003F7158" w:rsidRPr="003D3FC2" w:rsidRDefault="003F7158" w:rsidP="003F7158">
      <w:r>
        <w:t xml:space="preserve">In the 2020 process, the </w:t>
      </w:r>
      <w:r w:rsidRPr="003D3FC2">
        <w:t>Utilities provided a document summarizing their planned treatment of results and recommendations relatively late in the process, and in a manner that was not directed at the EA Team.  The EA Team ha</w:t>
      </w:r>
      <w:r>
        <w:t>d</w:t>
      </w:r>
      <w:r w:rsidRPr="003D3FC2">
        <w:t xml:space="preserve"> substantial issues with:</w:t>
      </w:r>
    </w:p>
    <w:p w14:paraId="00AA7551" w14:textId="4287889D" w:rsidR="003F7158" w:rsidRPr="003D3FC2" w:rsidRDefault="003F7158" w:rsidP="003F7158">
      <w:pPr>
        <w:pStyle w:val="ListParagraph"/>
        <w:numPr>
          <w:ilvl w:val="0"/>
          <w:numId w:val="3"/>
        </w:numPr>
        <w:spacing w:after="0" w:line="240" w:lineRule="auto"/>
        <w:contextualSpacing w:val="0"/>
      </w:pPr>
      <w:r w:rsidRPr="003D3FC2">
        <w:t xml:space="preserve">the treatments proposed by the Companies, focused on one program, </w:t>
      </w:r>
      <w:r>
        <w:t xml:space="preserve">and the rationales the Companies used to adapt some of the results to prospective program planning, and </w:t>
      </w:r>
    </w:p>
    <w:p w14:paraId="4A24E221" w14:textId="6764A5E9" w:rsidR="003F7158" w:rsidRPr="003D3FC2" w:rsidRDefault="003F7158" w:rsidP="003F7158">
      <w:pPr>
        <w:pStyle w:val="ListParagraph"/>
        <w:numPr>
          <w:ilvl w:val="0"/>
          <w:numId w:val="3"/>
        </w:numPr>
        <w:spacing w:after="0" w:line="240" w:lineRule="auto"/>
        <w:contextualSpacing w:val="0"/>
      </w:pPr>
      <w:r w:rsidRPr="003D3FC2">
        <w:t>with the process of response.</w:t>
      </w:r>
    </w:p>
    <w:p w14:paraId="0403DFA6" w14:textId="77777777" w:rsidR="003F7158" w:rsidRPr="003D3FC2" w:rsidRDefault="003F7158" w:rsidP="003F7158">
      <w:bookmarkStart w:id="0" w:name="_GoBack"/>
      <w:bookmarkEnd w:id="0"/>
    </w:p>
    <w:p w14:paraId="2C55555A" w14:textId="7004568D" w:rsidR="00BC1F12" w:rsidRDefault="003F7158" w:rsidP="003F7158">
      <w:r>
        <w:lastRenderedPageBreak/>
        <w:t xml:space="preserve">A phone call was held, </w:t>
      </w:r>
      <w:r w:rsidR="00BC1F12">
        <w:t>the EA Team provided the “step 3” feedback memo on the values, and another call was held to discuss remaining differences.  It was agreed that the EA Team would construct a table summarizing the issues, and the EA Team and the Companies would meet and try to work out an agreement on the differences, preferably before the end of 2019.</w:t>
      </w:r>
    </w:p>
    <w:p w14:paraId="142C2BFB" w14:textId="3EB52204" w:rsidR="00BC1F12" w:rsidRDefault="00BC1F12" w:rsidP="003F7158">
      <w:r>
        <w:t>The table was exchanged and two conference calls were held; the EA Team and the Companies were able to come to agreement on the values for use in the PSD and 2020 C&amp;LM Plan.  The results are provided in the Table below.</w:t>
      </w:r>
    </w:p>
    <w:p w14:paraId="58A3853B" w14:textId="77777777" w:rsidR="0050765A" w:rsidRDefault="0050765A" w:rsidP="003F7158">
      <w:pPr>
        <w:rPr>
          <w:b/>
          <w:bCs/>
        </w:rPr>
      </w:pPr>
    </w:p>
    <w:p w14:paraId="45E6D562" w14:textId="5DCB3B01" w:rsidR="00BC1F12" w:rsidRPr="0050765A" w:rsidRDefault="00BC1F12" w:rsidP="003F7158">
      <w:pPr>
        <w:rPr>
          <w:b/>
          <w:bCs/>
        </w:rPr>
      </w:pPr>
      <w:r>
        <w:rPr>
          <w:b/>
          <w:bCs/>
        </w:rPr>
        <w:t xml:space="preserve">COMMITTEE </w:t>
      </w:r>
      <w:r w:rsidRPr="0050765A">
        <w:rPr>
          <w:b/>
          <w:bCs/>
        </w:rPr>
        <w:t>ACTION REQUESTED:</w:t>
      </w:r>
    </w:p>
    <w:p w14:paraId="57B29191" w14:textId="7A89D4C2" w:rsidR="00BC1F12" w:rsidRDefault="00BC1F12" w:rsidP="003F7158">
      <w:r>
        <w:t xml:space="preserve">We request the Committee approve our presentation of the agreement </w:t>
      </w:r>
      <w:r w:rsidR="00C63465">
        <w:t xml:space="preserve">and associated incorporation of evaluation results </w:t>
      </w:r>
      <w:r>
        <w:t>via e-vote.</w:t>
      </w:r>
    </w:p>
    <w:p w14:paraId="55724BAB" w14:textId="02D15BCB" w:rsidR="003F7158" w:rsidRDefault="003F7158">
      <w:pPr>
        <w:rPr>
          <w:b/>
          <w:bCs/>
          <w:sz w:val="28"/>
          <w:szCs w:val="28"/>
        </w:rPr>
      </w:pPr>
    </w:p>
    <w:p w14:paraId="05D2C1D9" w14:textId="309F160D" w:rsidR="002B2F84" w:rsidRPr="00AC135A" w:rsidRDefault="003F7158">
      <w:pPr>
        <w:rPr>
          <w:b/>
          <w:bCs/>
          <w:sz w:val="28"/>
          <w:szCs w:val="28"/>
        </w:rPr>
      </w:pPr>
      <w:r>
        <w:rPr>
          <w:b/>
          <w:bCs/>
          <w:sz w:val="28"/>
          <w:szCs w:val="28"/>
        </w:rPr>
        <w:t xml:space="preserve">Agreements on </w:t>
      </w:r>
      <w:r w:rsidR="002B2F84" w:rsidRPr="00AC135A">
        <w:rPr>
          <w:b/>
          <w:bCs/>
          <w:sz w:val="28"/>
          <w:szCs w:val="28"/>
        </w:rPr>
        <w:t>Utility Treatment of Evaluation Results in the PSD and C&amp;LM Planning</w:t>
      </w:r>
      <w:r w:rsidR="00B569CF">
        <w:rPr>
          <w:b/>
          <w:bCs/>
          <w:sz w:val="28"/>
          <w:szCs w:val="28"/>
        </w:rPr>
        <w:t xml:space="preserve"> </w:t>
      </w:r>
      <w:r w:rsidR="00B569CF" w:rsidRPr="0050765A">
        <w:rPr>
          <w:b/>
          <w:bCs/>
        </w:rPr>
        <w:t>(</w:t>
      </w:r>
      <w:r w:rsidR="00B569CF" w:rsidRPr="0050765A">
        <w:rPr>
          <w:b/>
          <w:bCs/>
          <w:sz w:val="18"/>
          <w:szCs w:val="18"/>
        </w:rPr>
        <w:t>12/4/19</w:t>
      </w:r>
      <w:r w:rsidR="00E75EFB" w:rsidRPr="0050765A">
        <w:rPr>
          <w:b/>
          <w:bCs/>
          <w:sz w:val="18"/>
          <w:szCs w:val="18"/>
        </w:rPr>
        <w:t xml:space="preserve">; </w:t>
      </w:r>
      <w:r w:rsidRPr="0050765A">
        <w:rPr>
          <w:b/>
          <w:bCs/>
          <w:sz w:val="18"/>
          <w:szCs w:val="18"/>
        </w:rPr>
        <w:t>agreement 12/19/19</w:t>
      </w:r>
      <w:r w:rsidR="00B569CF" w:rsidRPr="0050765A">
        <w:rPr>
          <w:b/>
          <w:bCs/>
        </w:rPr>
        <w:t>)</w:t>
      </w:r>
    </w:p>
    <w:tbl>
      <w:tblPr>
        <w:tblStyle w:val="TableGrid"/>
        <w:tblW w:w="14035" w:type="dxa"/>
        <w:tblLayout w:type="fixed"/>
        <w:tblLook w:val="04A0" w:firstRow="1" w:lastRow="0" w:firstColumn="1" w:lastColumn="0" w:noHBand="0" w:noVBand="1"/>
      </w:tblPr>
      <w:tblGrid>
        <w:gridCol w:w="1116"/>
        <w:gridCol w:w="1489"/>
        <w:gridCol w:w="1530"/>
        <w:gridCol w:w="1620"/>
        <w:gridCol w:w="1890"/>
        <w:gridCol w:w="2700"/>
        <w:gridCol w:w="1890"/>
        <w:gridCol w:w="1800"/>
      </w:tblGrid>
      <w:tr w:rsidR="00862062" w:rsidRPr="00393971" w14:paraId="6B16C81E" w14:textId="6B72A3E7" w:rsidTr="0050765A">
        <w:trPr>
          <w:tblHeader/>
        </w:trPr>
        <w:tc>
          <w:tcPr>
            <w:tcW w:w="1116" w:type="dxa"/>
            <w:shd w:val="clear" w:color="auto" w:fill="DEEAF6" w:themeFill="accent5" w:themeFillTint="33"/>
          </w:tcPr>
          <w:p w14:paraId="6ECACEED" w14:textId="53C290CA" w:rsidR="00862062" w:rsidRPr="00393971" w:rsidRDefault="00862062">
            <w:pPr>
              <w:rPr>
                <w:rFonts w:cstheme="minorHAnsi"/>
                <w:sz w:val="20"/>
                <w:szCs w:val="20"/>
              </w:rPr>
            </w:pPr>
            <w:bookmarkStart w:id="1" w:name="_Hlk26293255"/>
            <w:r w:rsidRPr="00393971">
              <w:rPr>
                <w:rFonts w:cstheme="minorHAnsi"/>
                <w:sz w:val="20"/>
                <w:szCs w:val="20"/>
              </w:rPr>
              <w:t>Topic</w:t>
            </w:r>
          </w:p>
        </w:tc>
        <w:tc>
          <w:tcPr>
            <w:tcW w:w="1489" w:type="dxa"/>
            <w:shd w:val="clear" w:color="auto" w:fill="DEEAF6" w:themeFill="accent5" w:themeFillTint="33"/>
          </w:tcPr>
          <w:p w14:paraId="75715953" w14:textId="65D0A738" w:rsidR="00862062" w:rsidRPr="00393971" w:rsidRDefault="00862062" w:rsidP="00231400">
            <w:pPr>
              <w:jc w:val="center"/>
              <w:rPr>
                <w:rFonts w:cstheme="minorHAnsi"/>
                <w:sz w:val="20"/>
                <w:szCs w:val="20"/>
              </w:rPr>
            </w:pPr>
            <w:r w:rsidRPr="00393971">
              <w:rPr>
                <w:rFonts w:cstheme="minorHAnsi"/>
                <w:sz w:val="20"/>
                <w:szCs w:val="20"/>
              </w:rPr>
              <w:t>A.</w:t>
            </w:r>
            <w:r>
              <w:rPr>
                <w:rFonts w:cstheme="minorHAnsi"/>
                <w:sz w:val="20"/>
                <w:szCs w:val="20"/>
              </w:rPr>
              <w:t xml:space="preserve"> </w:t>
            </w:r>
            <w:r w:rsidRPr="00393971">
              <w:rPr>
                <w:rFonts w:cstheme="minorHAnsi"/>
                <w:sz w:val="20"/>
                <w:szCs w:val="20"/>
              </w:rPr>
              <w:t xml:space="preserve">Study / EA Team </w:t>
            </w:r>
            <w:r>
              <w:rPr>
                <w:rFonts w:cstheme="minorHAnsi"/>
                <w:sz w:val="20"/>
                <w:szCs w:val="20"/>
              </w:rPr>
              <w:t xml:space="preserve">Adjusted Gross </w:t>
            </w:r>
            <w:r w:rsidRPr="00393971">
              <w:rPr>
                <w:rFonts w:cstheme="minorHAnsi"/>
                <w:sz w:val="20"/>
                <w:szCs w:val="20"/>
              </w:rPr>
              <w:t>Value</w:t>
            </w:r>
          </w:p>
        </w:tc>
        <w:tc>
          <w:tcPr>
            <w:tcW w:w="1530" w:type="dxa"/>
            <w:shd w:val="clear" w:color="auto" w:fill="DEEAF6" w:themeFill="accent5" w:themeFillTint="33"/>
          </w:tcPr>
          <w:p w14:paraId="187CAF7A" w14:textId="60555708" w:rsidR="00862062" w:rsidRPr="00393971" w:rsidRDefault="00862062" w:rsidP="00231400">
            <w:pPr>
              <w:jc w:val="center"/>
              <w:rPr>
                <w:rFonts w:cstheme="minorHAnsi"/>
                <w:sz w:val="20"/>
                <w:szCs w:val="20"/>
              </w:rPr>
            </w:pPr>
            <w:r w:rsidRPr="00393971">
              <w:rPr>
                <w:rFonts w:cstheme="minorHAnsi"/>
                <w:sz w:val="20"/>
                <w:szCs w:val="20"/>
              </w:rPr>
              <w:t>B.</w:t>
            </w:r>
            <w:r>
              <w:rPr>
                <w:rFonts w:cstheme="minorHAnsi"/>
                <w:sz w:val="20"/>
                <w:szCs w:val="20"/>
              </w:rPr>
              <w:t xml:space="preserve"> </w:t>
            </w:r>
            <w:r w:rsidRPr="00393971">
              <w:rPr>
                <w:rFonts w:cstheme="minorHAnsi"/>
                <w:sz w:val="20"/>
                <w:szCs w:val="20"/>
              </w:rPr>
              <w:t xml:space="preserve">Utility </w:t>
            </w:r>
            <w:r>
              <w:rPr>
                <w:rFonts w:cstheme="minorHAnsi"/>
                <w:sz w:val="20"/>
                <w:szCs w:val="20"/>
              </w:rPr>
              <w:t xml:space="preserve">Gross </w:t>
            </w:r>
            <w:r w:rsidRPr="00393971">
              <w:rPr>
                <w:rFonts w:cstheme="minorHAnsi"/>
                <w:sz w:val="20"/>
                <w:szCs w:val="20"/>
              </w:rPr>
              <w:t>Value</w:t>
            </w:r>
            <w:r>
              <w:rPr>
                <w:rFonts w:cstheme="minorHAnsi"/>
                <w:sz w:val="20"/>
                <w:szCs w:val="20"/>
              </w:rPr>
              <w:t xml:space="preserve"> (2015-16)</w:t>
            </w:r>
          </w:p>
        </w:tc>
        <w:tc>
          <w:tcPr>
            <w:tcW w:w="1620" w:type="dxa"/>
            <w:shd w:val="clear" w:color="auto" w:fill="DEEAF6" w:themeFill="accent5" w:themeFillTint="33"/>
          </w:tcPr>
          <w:p w14:paraId="0264AB93" w14:textId="664F3E82" w:rsidR="00862062" w:rsidRPr="00393971" w:rsidRDefault="00862062" w:rsidP="00231400">
            <w:pPr>
              <w:jc w:val="center"/>
              <w:rPr>
                <w:rFonts w:cstheme="minorHAnsi"/>
                <w:sz w:val="20"/>
                <w:szCs w:val="20"/>
              </w:rPr>
            </w:pPr>
            <w:r w:rsidRPr="00393971">
              <w:rPr>
                <w:rFonts w:cstheme="minorHAnsi"/>
                <w:sz w:val="20"/>
                <w:szCs w:val="20"/>
              </w:rPr>
              <w:t>C.EA Team Revised</w:t>
            </w:r>
          </w:p>
        </w:tc>
        <w:tc>
          <w:tcPr>
            <w:tcW w:w="1890" w:type="dxa"/>
            <w:shd w:val="clear" w:color="auto" w:fill="DEEAF6" w:themeFill="accent5" w:themeFillTint="33"/>
          </w:tcPr>
          <w:p w14:paraId="719F3DBF" w14:textId="69D88960" w:rsidR="00862062" w:rsidRPr="00393971" w:rsidRDefault="00862062" w:rsidP="00231400">
            <w:pPr>
              <w:jc w:val="center"/>
              <w:rPr>
                <w:rFonts w:cstheme="minorHAnsi"/>
                <w:sz w:val="20"/>
                <w:szCs w:val="20"/>
              </w:rPr>
            </w:pPr>
            <w:r w:rsidRPr="00393971">
              <w:rPr>
                <w:rFonts w:cstheme="minorHAnsi"/>
                <w:sz w:val="20"/>
                <w:szCs w:val="20"/>
              </w:rPr>
              <w:t>D.</w:t>
            </w:r>
            <w:r>
              <w:rPr>
                <w:rFonts w:cstheme="minorHAnsi"/>
                <w:sz w:val="20"/>
                <w:szCs w:val="20"/>
              </w:rPr>
              <w:t xml:space="preserve"> </w:t>
            </w:r>
            <w:r w:rsidRPr="00393971">
              <w:rPr>
                <w:rFonts w:cstheme="minorHAnsi"/>
                <w:sz w:val="20"/>
                <w:szCs w:val="20"/>
              </w:rPr>
              <w:t>Discussion</w:t>
            </w:r>
            <w:r>
              <w:rPr>
                <w:rFonts w:cstheme="minorHAnsi"/>
                <w:sz w:val="20"/>
                <w:szCs w:val="20"/>
              </w:rPr>
              <w:t>/EA Rationale</w:t>
            </w:r>
          </w:p>
        </w:tc>
        <w:tc>
          <w:tcPr>
            <w:tcW w:w="2700" w:type="dxa"/>
            <w:shd w:val="clear" w:color="auto" w:fill="DEEAF6" w:themeFill="accent5" w:themeFillTint="33"/>
          </w:tcPr>
          <w:p w14:paraId="0E322FE1" w14:textId="58352465" w:rsidR="00862062" w:rsidRPr="00393971" w:rsidRDefault="00862062" w:rsidP="00231400">
            <w:pPr>
              <w:jc w:val="center"/>
              <w:rPr>
                <w:rFonts w:cstheme="minorHAnsi"/>
                <w:sz w:val="20"/>
                <w:szCs w:val="20"/>
              </w:rPr>
            </w:pPr>
            <w:r w:rsidRPr="00393971">
              <w:rPr>
                <w:rFonts w:cstheme="minorHAnsi"/>
                <w:sz w:val="20"/>
                <w:szCs w:val="20"/>
              </w:rPr>
              <w:t>E.</w:t>
            </w:r>
            <w:r>
              <w:rPr>
                <w:rFonts w:cstheme="minorHAnsi"/>
                <w:sz w:val="20"/>
                <w:szCs w:val="20"/>
              </w:rPr>
              <w:t xml:space="preserve"> </w:t>
            </w:r>
            <w:r w:rsidRPr="00393971">
              <w:rPr>
                <w:rFonts w:cstheme="minorHAnsi"/>
                <w:sz w:val="20"/>
                <w:szCs w:val="20"/>
              </w:rPr>
              <w:t xml:space="preserve">Utility </w:t>
            </w:r>
            <w:r>
              <w:rPr>
                <w:rFonts w:cstheme="minorHAnsi"/>
                <w:sz w:val="20"/>
                <w:szCs w:val="20"/>
              </w:rPr>
              <w:t>Revised Proposal</w:t>
            </w:r>
          </w:p>
        </w:tc>
        <w:tc>
          <w:tcPr>
            <w:tcW w:w="1890" w:type="dxa"/>
            <w:shd w:val="clear" w:color="auto" w:fill="DEEAF6" w:themeFill="accent5" w:themeFillTint="33"/>
          </w:tcPr>
          <w:p w14:paraId="1D0884E2" w14:textId="0330A782" w:rsidR="00862062" w:rsidRPr="00393971" w:rsidRDefault="00862062" w:rsidP="00231400">
            <w:pPr>
              <w:jc w:val="center"/>
              <w:rPr>
                <w:rFonts w:cstheme="minorHAnsi"/>
                <w:sz w:val="20"/>
                <w:szCs w:val="20"/>
              </w:rPr>
            </w:pPr>
            <w:proofErr w:type="gramStart"/>
            <w:r>
              <w:rPr>
                <w:rFonts w:cstheme="minorHAnsi"/>
                <w:sz w:val="20"/>
                <w:szCs w:val="20"/>
              </w:rPr>
              <w:t>F.EA</w:t>
            </w:r>
            <w:proofErr w:type="gramEnd"/>
            <w:r>
              <w:rPr>
                <w:rFonts w:cstheme="minorHAnsi"/>
                <w:sz w:val="20"/>
                <w:szCs w:val="20"/>
              </w:rPr>
              <w:t xml:space="preserve"> Revised Proposal</w:t>
            </w:r>
            <w:r w:rsidR="00D57CE2">
              <w:rPr>
                <w:rFonts w:cstheme="minorHAnsi"/>
                <w:sz w:val="20"/>
                <w:szCs w:val="20"/>
              </w:rPr>
              <w:t xml:space="preserve"> / Discussion</w:t>
            </w:r>
          </w:p>
        </w:tc>
        <w:tc>
          <w:tcPr>
            <w:tcW w:w="1800" w:type="dxa"/>
            <w:shd w:val="clear" w:color="auto" w:fill="DEEAF6" w:themeFill="accent5" w:themeFillTint="33"/>
          </w:tcPr>
          <w:p w14:paraId="2806D067" w14:textId="37E9DC8F" w:rsidR="00862062" w:rsidRPr="00393971" w:rsidRDefault="0050765A" w:rsidP="00231400">
            <w:pPr>
              <w:jc w:val="center"/>
              <w:rPr>
                <w:rFonts w:cstheme="minorHAnsi"/>
                <w:sz w:val="20"/>
                <w:szCs w:val="20"/>
              </w:rPr>
            </w:pPr>
            <w:r>
              <w:rPr>
                <w:rFonts w:cstheme="minorHAnsi"/>
                <w:sz w:val="20"/>
                <w:szCs w:val="20"/>
              </w:rPr>
              <w:t>G</w:t>
            </w:r>
            <w:r w:rsidR="00862062" w:rsidRPr="00393971">
              <w:rPr>
                <w:rFonts w:cstheme="minorHAnsi"/>
                <w:sz w:val="20"/>
                <w:szCs w:val="20"/>
              </w:rPr>
              <w:t>.</w:t>
            </w:r>
            <w:r w:rsidR="00862062">
              <w:rPr>
                <w:rFonts w:cstheme="minorHAnsi"/>
                <w:sz w:val="20"/>
                <w:szCs w:val="20"/>
              </w:rPr>
              <w:t xml:space="preserve"> </w:t>
            </w:r>
            <w:r w:rsidR="00862062" w:rsidRPr="00393971">
              <w:rPr>
                <w:rFonts w:cstheme="minorHAnsi"/>
                <w:sz w:val="20"/>
                <w:szCs w:val="20"/>
              </w:rPr>
              <w:t>Resolution</w:t>
            </w:r>
          </w:p>
        </w:tc>
      </w:tr>
      <w:bookmarkEnd w:id="1"/>
      <w:tr w:rsidR="00862062" w:rsidRPr="00393971" w14:paraId="6F4B23BA" w14:textId="2875C015" w:rsidTr="0050765A">
        <w:tc>
          <w:tcPr>
            <w:tcW w:w="1116" w:type="dxa"/>
            <w:shd w:val="clear" w:color="auto" w:fill="DEEAF6" w:themeFill="accent5" w:themeFillTint="33"/>
            <w:vAlign w:val="center"/>
          </w:tcPr>
          <w:p w14:paraId="64081D10" w14:textId="1B09C8F8" w:rsidR="00862062" w:rsidRPr="00393971" w:rsidRDefault="00862062" w:rsidP="00793FF0">
            <w:pPr>
              <w:rPr>
                <w:rFonts w:cstheme="minorHAnsi"/>
                <w:sz w:val="20"/>
                <w:szCs w:val="20"/>
              </w:rPr>
            </w:pPr>
            <w:r w:rsidRPr="00393971">
              <w:rPr>
                <w:rFonts w:cstheme="minorHAnsi"/>
                <w:sz w:val="20"/>
                <w:szCs w:val="20"/>
              </w:rPr>
              <w:t>1.Lighting HES</w:t>
            </w:r>
          </w:p>
        </w:tc>
        <w:tc>
          <w:tcPr>
            <w:tcW w:w="1489" w:type="dxa"/>
          </w:tcPr>
          <w:p w14:paraId="179A81D4" w14:textId="5FE4734E" w:rsidR="00862062" w:rsidRDefault="00862062" w:rsidP="00793FF0">
            <w:pPr>
              <w:rPr>
                <w:rFonts w:cstheme="minorHAnsi"/>
                <w:sz w:val="20"/>
                <w:szCs w:val="20"/>
              </w:rPr>
            </w:pPr>
            <w:r w:rsidRPr="00393971">
              <w:rPr>
                <w:rFonts w:cstheme="minorHAnsi"/>
                <w:sz w:val="20"/>
                <w:szCs w:val="20"/>
              </w:rPr>
              <w:t>418 kWh savings</w:t>
            </w:r>
            <w:r>
              <w:rPr>
                <w:rFonts w:cstheme="minorHAnsi"/>
                <w:sz w:val="20"/>
                <w:szCs w:val="20"/>
              </w:rPr>
              <w:t>;</w:t>
            </w:r>
          </w:p>
          <w:p w14:paraId="474A2E13" w14:textId="0A5CC2C8" w:rsidR="00862062" w:rsidRDefault="00862062" w:rsidP="00793FF0">
            <w:pPr>
              <w:rPr>
                <w:rFonts w:cstheme="minorHAnsi"/>
                <w:sz w:val="20"/>
                <w:szCs w:val="20"/>
              </w:rPr>
            </w:pPr>
            <w:r>
              <w:rPr>
                <w:rFonts w:cstheme="minorHAnsi"/>
                <w:sz w:val="20"/>
                <w:szCs w:val="20"/>
              </w:rPr>
              <w:t>Implied RR=47%</w:t>
            </w:r>
          </w:p>
          <w:p w14:paraId="6D4D2CD0" w14:textId="77777777" w:rsidR="00862062" w:rsidRDefault="00862062" w:rsidP="00793FF0">
            <w:pPr>
              <w:rPr>
                <w:rFonts w:cstheme="minorHAnsi"/>
                <w:sz w:val="20"/>
                <w:szCs w:val="20"/>
              </w:rPr>
            </w:pPr>
          </w:p>
          <w:p w14:paraId="264FCA74" w14:textId="69BB5D63" w:rsidR="00862062" w:rsidRPr="00393971" w:rsidRDefault="00862062" w:rsidP="00793FF0">
            <w:pPr>
              <w:rPr>
                <w:rFonts w:cstheme="minorHAnsi"/>
                <w:sz w:val="20"/>
                <w:szCs w:val="20"/>
              </w:rPr>
            </w:pPr>
          </w:p>
        </w:tc>
        <w:tc>
          <w:tcPr>
            <w:tcW w:w="1530" w:type="dxa"/>
          </w:tcPr>
          <w:p w14:paraId="5E167D3C" w14:textId="23A92695" w:rsidR="00862062" w:rsidRPr="00393971" w:rsidRDefault="00862062" w:rsidP="00793FF0">
            <w:pPr>
              <w:rPr>
                <w:rFonts w:cstheme="minorHAnsi"/>
                <w:sz w:val="20"/>
                <w:szCs w:val="20"/>
              </w:rPr>
            </w:pPr>
            <w:r>
              <w:rPr>
                <w:rFonts w:cstheme="minorHAnsi"/>
                <w:sz w:val="20"/>
                <w:szCs w:val="20"/>
              </w:rPr>
              <w:t xml:space="preserve">891 kWh </w:t>
            </w:r>
            <w:r>
              <w:rPr>
                <w:rStyle w:val="FootnoteReference"/>
                <w:rFonts w:cstheme="minorHAnsi"/>
                <w:sz w:val="20"/>
                <w:szCs w:val="20"/>
              </w:rPr>
              <w:footnoteReference w:id="1"/>
            </w:r>
          </w:p>
        </w:tc>
        <w:tc>
          <w:tcPr>
            <w:tcW w:w="1620" w:type="dxa"/>
          </w:tcPr>
          <w:p w14:paraId="1FCF5060" w14:textId="0DDEC8D5" w:rsidR="00862062" w:rsidRPr="00393971" w:rsidRDefault="00862062" w:rsidP="00793FF0">
            <w:pPr>
              <w:rPr>
                <w:rFonts w:cstheme="minorHAnsi"/>
                <w:sz w:val="20"/>
                <w:szCs w:val="20"/>
              </w:rPr>
            </w:pPr>
            <w:r w:rsidRPr="00BF6F10">
              <w:rPr>
                <w:rFonts w:cstheme="minorHAnsi"/>
                <w:sz w:val="20"/>
                <w:szCs w:val="20"/>
              </w:rPr>
              <w:t>418 kWh savings</w:t>
            </w:r>
            <w:r>
              <w:rPr>
                <w:rFonts w:cstheme="minorHAnsi"/>
                <w:sz w:val="20"/>
                <w:szCs w:val="20"/>
              </w:rPr>
              <w:t xml:space="preserve">; Calculated RR consistent with 2020 savings </w:t>
            </w:r>
            <w:r w:rsidRPr="00620874">
              <w:rPr>
                <w:rFonts w:cstheme="minorHAnsi"/>
                <w:sz w:val="20"/>
                <w:szCs w:val="20"/>
              </w:rPr>
              <w:t xml:space="preserve">assumed (which </w:t>
            </w:r>
            <w:r w:rsidR="009B36AA" w:rsidRPr="00620874">
              <w:rPr>
                <w:rFonts w:cstheme="minorHAnsi"/>
                <w:sz w:val="20"/>
                <w:szCs w:val="20"/>
              </w:rPr>
              <w:t xml:space="preserve">EA Team agrees </w:t>
            </w:r>
            <w:r w:rsidRPr="00620874">
              <w:rPr>
                <w:rFonts w:cstheme="minorHAnsi"/>
                <w:sz w:val="20"/>
                <w:szCs w:val="20"/>
              </w:rPr>
              <w:t xml:space="preserve">may be </w:t>
            </w:r>
            <w:r w:rsidR="009B36AA" w:rsidRPr="00620874">
              <w:rPr>
                <w:rFonts w:cstheme="minorHAnsi"/>
                <w:sz w:val="20"/>
                <w:szCs w:val="20"/>
              </w:rPr>
              <w:t xml:space="preserve">set to </w:t>
            </w:r>
            <w:r w:rsidRPr="00620874">
              <w:rPr>
                <w:rFonts w:cstheme="minorHAnsi"/>
                <w:sz w:val="20"/>
                <w:szCs w:val="20"/>
              </w:rPr>
              <w:t>2019</w:t>
            </w:r>
            <w:r w:rsidR="00032ACF" w:rsidRPr="00620874">
              <w:rPr>
                <w:rFonts w:cstheme="minorHAnsi"/>
                <w:sz w:val="20"/>
                <w:szCs w:val="20"/>
              </w:rPr>
              <w:t xml:space="preserve"> gross savings </w:t>
            </w:r>
            <w:r w:rsidRPr="00620874">
              <w:rPr>
                <w:rFonts w:cstheme="minorHAnsi"/>
                <w:sz w:val="20"/>
                <w:szCs w:val="20"/>
              </w:rPr>
              <w:t>actuals</w:t>
            </w:r>
            <w:r w:rsidR="009B36AA" w:rsidRPr="00620874">
              <w:rPr>
                <w:rFonts w:cstheme="minorHAnsi"/>
                <w:sz w:val="20"/>
                <w:szCs w:val="20"/>
              </w:rPr>
              <w:t xml:space="preserve"> throughout</w:t>
            </w:r>
            <w:r w:rsidRPr="00620874">
              <w:rPr>
                <w:rFonts w:cstheme="minorHAnsi"/>
                <w:sz w:val="20"/>
                <w:szCs w:val="20"/>
              </w:rPr>
              <w:t>).</w:t>
            </w:r>
          </w:p>
        </w:tc>
        <w:tc>
          <w:tcPr>
            <w:tcW w:w="1890" w:type="dxa"/>
          </w:tcPr>
          <w:p w14:paraId="6EB5A891" w14:textId="78C92AAB" w:rsidR="00862062" w:rsidRPr="00184D9B" w:rsidRDefault="00862062" w:rsidP="00793FF0">
            <w:pPr>
              <w:rPr>
                <w:rFonts w:cstheme="minorHAnsi"/>
                <w:sz w:val="20"/>
                <w:szCs w:val="20"/>
              </w:rPr>
            </w:pPr>
            <w:r w:rsidRPr="00184D9B">
              <w:rPr>
                <w:rFonts w:cstheme="minorHAnsi"/>
                <w:sz w:val="20"/>
                <w:szCs w:val="20"/>
              </w:rPr>
              <w:t>.</w:t>
            </w:r>
          </w:p>
        </w:tc>
        <w:tc>
          <w:tcPr>
            <w:tcW w:w="2700" w:type="dxa"/>
          </w:tcPr>
          <w:p w14:paraId="21191F3A" w14:textId="5876CBEB" w:rsidR="00862062" w:rsidRPr="00393971" w:rsidRDefault="00862062" w:rsidP="00793FF0">
            <w:pPr>
              <w:rPr>
                <w:rFonts w:cstheme="minorHAnsi"/>
                <w:sz w:val="20"/>
                <w:szCs w:val="20"/>
              </w:rPr>
            </w:pPr>
            <w:r>
              <w:rPr>
                <w:rFonts w:cstheme="minorHAnsi"/>
                <w:sz w:val="20"/>
                <w:szCs w:val="20"/>
              </w:rPr>
              <w:t>As filed in our 2020 PSD, utilities agreed to West Hill’s original results of 47%.</w:t>
            </w:r>
          </w:p>
        </w:tc>
        <w:tc>
          <w:tcPr>
            <w:tcW w:w="1890" w:type="dxa"/>
          </w:tcPr>
          <w:p w14:paraId="758C3260" w14:textId="6899EBAE" w:rsidR="00862062" w:rsidRDefault="00862062" w:rsidP="00793FF0">
            <w:pPr>
              <w:rPr>
                <w:rFonts w:cstheme="minorHAnsi"/>
                <w:sz w:val="20"/>
                <w:szCs w:val="20"/>
              </w:rPr>
            </w:pPr>
            <w:proofErr w:type="spellStart"/>
            <w:r>
              <w:rPr>
                <w:rFonts w:cstheme="minorHAnsi"/>
                <w:sz w:val="20"/>
                <w:szCs w:val="20"/>
              </w:rPr>
              <w:t>n.a.</w:t>
            </w:r>
            <w:proofErr w:type="spellEnd"/>
          </w:p>
        </w:tc>
        <w:tc>
          <w:tcPr>
            <w:tcW w:w="1800" w:type="dxa"/>
          </w:tcPr>
          <w:p w14:paraId="4F72FCCD" w14:textId="77777777" w:rsidR="00862062" w:rsidRDefault="00862062" w:rsidP="00793FF0">
            <w:pPr>
              <w:rPr>
                <w:rFonts w:cstheme="minorHAnsi"/>
                <w:sz w:val="20"/>
                <w:szCs w:val="20"/>
              </w:rPr>
            </w:pPr>
            <w:r>
              <w:rPr>
                <w:rFonts w:cstheme="minorHAnsi"/>
                <w:sz w:val="20"/>
                <w:szCs w:val="20"/>
              </w:rPr>
              <w:t>Resolved / agreed</w:t>
            </w:r>
            <w:r w:rsidR="009B36AA">
              <w:rPr>
                <w:rFonts w:cstheme="minorHAnsi"/>
                <w:sz w:val="20"/>
                <w:szCs w:val="20"/>
              </w:rPr>
              <w:t>.</w:t>
            </w:r>
          </w:p>
          <w:p w14:paraId="38F5AB5E" w14:textId="77777777" w:rsidR="009B36AA" w:rsidRDefault="009B36AA" w:rsidP="00793FF0">
            <w:pPr>
              <w:rPr>
                <w:rFonts w:cstheme="minorHAnsi"/>
                <w:sz w:val="20"/>
                <w:szCs w:val="20"/>
              </w:rPr>
            </w:pPr>
          </w:p>
          <w:p w14:paraId="4856B61A" w14:textId="534AB415" w:rsidR="009B36AA" w:rsidRPr="00393971" w:rsidRDefault="009B36AA" w:rsidP="00793FF0">
            <w:pPr>
              <w:rPr>
                <w:rFonts w:cstheme="minorHAnsi"/>
                <w:sz w:val="20"/>
                <w:szCs w:val="20"/>
              </w:rPr>
            </w:pPr>
            <w:r>
              <w:rPr>
                <w:rFonts w:cstheme="minorHAnsi"/>
                <w:sz w:val="20"/>
                <w:szCs w:val="20"/>
              </w:rPr>
              <w:t>Utility adopts Study values for HES.</w:t>
            </w:r>
          </w:p>
        </w:tc>
      </w:tr>
      <w:tr w:rsidR="00862062" w:rsidRPr="00393971" w14:paraId="1E9B788C" w14:textId="4194E06E" w:rsidTr="0050765A">
        <w:tc>
          <w:tcPr>
            <w:tcW w:w="1116" w:type="dxa"/>
            <w:shd w:val="clear" w:color="auto" w:fill="DEEAF6" w:themeFill="accent5" w:themeFillTint="33"/>
          </w:tcPr>
          <w:p w14:paraId="30A680E5" w14:textId="0DA21073" w:rsidR="00862062" w:rsidRPr="00393971" w:rsidRDefault="00862062" w:rsidP="00650EAB">
            <w:pPr>
              <w:rPr>
                <w:rFonts w:cstheme="minorHAnsi"/>
                <w:sz w:val="20"/>
                <w:szCs w:val="20"/>
              </w:rPr>
            </w:pPr>
            <w:r>
              <w:rPr>
                <w:rFonts w:cstheme="minorHAnsi"/>
                <w:sz w:val="20"/>
                <w:szCs w:val="20"/>
              </w:rPr>
              <w:t>2</w:t>
            </w:r>
            <w:r w:rsidRPr="00393971">
              <w:rPr>
                <w:rFonts w:cstheme="minorHAnsi"/>
                <w:sz w:val="20"/>
                <w:szCs w:val="20"/>
              </w:rPr>
              <w:t>. Lighting HES-IE</w:t>
            </w:r>
          </w:p>
        </w:tc>
        <w:tc>
          <w:tcPr>
            <w:tcW w:w="1489" w:type="dxa"/>
          </w:tcPr>
          <w:p w14:paraId="097A32AF" w14:textId="6079E27E" w:rsidR="00862062" w:rsidRDefault="00862062" w:rsidP="00650EAB">
            <w:pPr>
              <w:rPr>
                <w:rFonts w:cstheme="minorHAnsi"/>
                <w:sz w:val="20"/>
                <w:szCs w:val="20"/>
              </w:rPr>
            </w:pPr>
            <w:r>
              <w:rPr>
                <w:rFonts w:cstheme="minorHAnsi"/>
                <w:sz w:val="20"/>
                <w:szCs w:val="20"/>
              </w:rPr>
              <w:t>262 kWh Savings;</w:t>
            </w:r>
          </w:p>
          <w:p w14:paraId="3F658F26" w14:textId="3EF2D9BC" w:rsidR="00862062" w:rsidRDefault="00862062" w:rsidP="00650EAB">
            <w:pPr>
              <w:rPr>
                <w:rFonts w:cstheme="minorHAnsi"/>
                <w:sz w:val="20"/>
                <w:szCs w:val="20"/>
              </w:rPr>
            </w:pPr>
            <w:r>
              <w:rPr>
                <w:rFonts w:cstheme="minorHAnsi"/>
                <w:sz w:val="20"/>
                <w:szCs w:val="20"/>
              </w:rPr>
              <w:lastRenderedPageBreak/>
              <w:t>Implied RR=28%</w:t>
            </w:r>
          </w:p>
          <w:p w14:paraId="7EABA170" w14:textId="4045AE09" w:rsidR="00862062" w:rsidRPr="00393971" w:rsidRDefault="00862062" w:rsidP="00650EAB">
            <w:pPr>
              <w:rPr>
                <w:rFonts w:cstheme="minorHAnsi"/>
                <w:sz w:val="20"/>
                <w:szCs w:val="20"/>
              </w:rPr>
            </w:pPr>
          </w:p>
        </w:tc>
        <w:tc>
          <w:tcPr>
            <w:tcW w:w="1530" w:type="dxa"/>
          </w:tcPr>
          <w:p w14:paraId="195D3422" w14:textId="218B2ED9" w:rsidR="00862062" w:rsidRPr="00393971" w:rsidRDefault="00862062" w:rsidP="00650EAB">
            <w:pPr>
              <w:rPr>
                <w:rFonts w:cstheme="minorHAnsi"/>
                <w:sz w:val="20"/>
                <w:szCs w:val="20"/>
              </w:rPr>
            </w:pPr>
            <w:r>
              <w:rPr>
                <w:rFonts w:cstheme="minorHAnsi"/>
                <w:sz w:val="20"/>
                <w:szCs w:val="20"/>
              </w:rPr>
              <w:lastRenderedPageBreak/>
              <w:t>927 kWh</w:t>
            </w:r>
            <w:r w:rsidRPr="00393971">
              <w:rPr>
                <w:rFonts w:cstheme="minorHAnsi"/>
                <w:sz w:val="20"/>
                <w:szCs w:val="20"/>
                <w:vertAlign w:val="superscript"/>
              </w:rPr>
              <w:t>1</w:t>
            </w:r>
          </w:p>
        </w:tc>
        <w:tc>
          <w:tcPr>
            <w:tcW w:w="1620" w:type="dxa"/>
          </w:tcPr>
          <w:p w14:paraId="27A5CC4D" w14:textId="0597D299" w:rsidR="00862062" w:rsidRPr="00393971" w:rsidRDefault="00862062" w:rsidP="00650EAB">
            <w:pPr>
              <w:rPr>
                <w:rFonts w:cstheme="minorHAnsi"/>
                <w:sz w:val="20"/>
                <w:szCs w:val="20"/>
              </w:rPr>
            </w:pPr>
            <w:r>
              <w:rPr>
                <w:rFonts w:cstheme="minorHAnsi"/>
                <w:sz w:val="20"/>
                <w:szCs w:val="20"/>
              </w:rPr>
              <w:t xml:space="preserve">262 kWh Savings.  </w:t>
            </w:r>
            <w:r>
              <w:rPr>
                <w:rFonts w:cstheme="minorHAnsi"/>
                <w:sz w:val="20"/>
                <w:szCs w:val="20"/>
              </w:rPr>
              <w:lastRenderedPageBreak/>
              <w:t>Calculated RR consistent with 2020 savings assumed.</w:t>
            </w:r>
          </w:p>
        </w:tc>
        <w:tc>
          <w:tcPr>
            <w:tcW w:w="1890" w:type="dxa"/>
          </w:tcPr>
          <w:p w14:paraId="7EC0B2B0" w14:textId="2C76EE22" w:rsidR="00862062" w:rsidRPr="00184D9B" w:rsidRDefault="00862062" w:rsidP="00650EAB">
            <w:pPr>
              <w:rPr>
                <w:rFonts w:cstheme="minorHAnsi"/>
                <w:sz w:val="20"/>
                <w:szCs w:val="20"/>
              </w:rPr>
            </w:pPr>
            <w:r w:rsidRPr="00620874">
              <w:rPr>
                <w:rFonts w:cstheme="minorHAnsi"/>
                <w:sz w:val="20"/>
                <w:szCs w:val="20"/>
              </w:rPr>
              <w:lastRenderedPageBreak/>
              <w:t>2020 Plan suggests 747 gross kWh</w:t>
            </w:r>
            <w:r w:rsidRPr="00422A2A">
              <w:rPr>
                <w:rFonts w:cstheme="minorHAnsi"/>
                <w:sz w:val="20"/>
                <w:szCs w:val="20"/>
              </w:rPr>
              <w:t xml:space="preserve"> </w:t>
            </w:r>
            <w:r w:rsidRPr="00422A2A">
              <w:rPr>
                <w:rFonts w:cstheme="minorHAnsi"/>
                <w:sz w:val="20"/>
                <w:szCs w:val="20"/>
              </w:rPr>
              <w:lastRenderedPageBreak/>
              <w:t>savings /home</w:t>
            </w:r>
            <w:r>
              <w:rPr>
                <w:rFonts w:cstheme="minorHAnsi"/>
                <w:sz w:val="20"/>
                <w:szCs w:val="20"/>
              </w:rPr>
              <w:t xml:space="preserve"> in 2019 YTD for HES-IE</w:t>
            </w:r>
            <w:r w:rsidRPr="00422A2A">
              <w:rPr>
                <w:rFonts w:cstheme="minorHAnsi"/>
                <w:sz w:val="20"/>
                <w:szCs w:val="20"/>
              </w:rPr>
              <w:t>.  Suggest lower delta watts and lower hours of use for number closer to 2</w:t>
            </w:r>
            <w:r>
              <w:rPr>
                <w:rFonts w:cstheme="minorHAnsi"/>
                <w:sz w:val="20"/>
                <w:szCs w:val="20"/>
              </w:rPr>
              <w:t>6</w:t>
            </w:r>
            <w:r w:rsidRPr="00422A2A">
              <w:rPr>
                <w:rFonts w:cstheme="minorHAnsi"/>
                <w:sz w:val="20"/>
                <w:szCs w:val="20"/>
              </w:rPr>
              <w:t>2 kWh</w:t>
            </w:r>
            <w:r w:rsidRPr="00184D9B">
              <w:rPr>
                <w:rFonts w:cstheme="minorHAnsi"/>
                <w:sz w:val="20"/>
                <w:szCs w:val="20"/>
              </w:rPr>
              <w:t>. RR calculation depends on 2020 savings assumed by Utilities.</w:t>
            </w:r>
            <w:r>
              <w:rPr>
                <w:rFonts w:cstheme="minorHAnsi"/>
                <w:sz w:val="20"/>
                <w:szCs w:val="20"/>
              </w:rPr>
              <w:t xml:space="preserve">  (Utilities please provide)</w:t>
            </w:r>
          </w:p>
        </w:tc>
        <w:tc>
          <w:tcPr>
            <w:tcW w:w="2700" w:type="dxa"/>
          </w:tcPr>
          <w:p w14:paraId="0F425D5F" w14:textId="757191AF" w:rsidR="00862062" w:rsidRDefault="00862062" w:rsidP="00650EAB">
            <w:pPr>
              <w:rPr>
                <w:sz w:val="20"/>
                <w:szCs w:val="20"/>
              </w:rPr>
            </w:pPr>
            <w:r>
              <w:rPr>
                <w:rFonts w:cstheme="minorHAnsi"/>
                <w:sz w:val="20"/>
                <w:szCs w:val="20"/>
              </w:rPr>
              <w:lastRenderedPageBreak/>
              <w:t xml:space="preserve">ES: 2019 gross savings per home were 774 kWh as of </w:t>
            </w:r>
            <w:r>
              <w:rPr>
                <w:rFonts w:cstheme="minorHAnsi"/>
                <w:sz w:val="20"/>
                <w:szCs w:val="20"/>
              </w:rPr>
              <w:lastRenderedPageBreak/>
              <w:t xml:space="preserve">December 6. </w:t>
            </w:r>
            <w:r>
              <w:rPr>
                <w:sz w:val="20"/>
                <w:szCs w:val="20"/>
              </w:rPr>
              <w:t>To get 262 kWh implies a RR of 34%.</w:t>
            </w:r>
          </w:p>
          <w:p w14:paraId="2E73BCBD" w14:textId="77777777" w:rsidR="00862062" w:rsidRDefault="00862062" w:rsidP="00650EAB">
            <w:pPr>
              <w:rPr>
                <w:rFonts w:cstheme="minorHAnsi"/>
                <w:sz w:val="20"/>
                <w:szCs w:val="20"/>
              </w:rPr>
            </w:pPr>
          </w:p>
          <w:p w14:paraId="45AE73E7" w14:textId="163C2AC2" w:rsidR="00862062" w:rsidRDefault="00862062" w:rsidP="00650EAB">
            <w:pPr>
              <w:rPr>
                <w:sz w:val="20"/>
                <w:szCs w:val="20"/>
              </w:rPr>
            </w:pPr>
            <w:r>
              <w:rPr>
                <w:rFonts w:cstheme="minorHAnsi"/>
                <w:sz w:val="20"/>
                <w:szCs w:val="20"/>
              </w:rPr>
              <w:t>UI: 2019 gross savings per home were 1066 kWh</w:t>
            </w:r>
            <w:r>
              <w:rPr>
                <w:sz w:val="20"/>
                <w:szCs w:val="20"/>
              </w:rPr>
              <w:t xml:space="preserve"> </w:t>
            </w:r>
          </w:p>
          <w:p w14:paraId="17DFD9D6" w14:textId="77777777" w:rsidR="00862062" w:rsidRDefault="00862062" w:rsidP="00650EAB">
            <w:pPr>
              <w:rPr>
                <w:sz w:val="20"/>
                <w:szCs w:val="20"/>
              </w:rPr>
            </w:pPr>
            <w:r>
              <w:rPr>
                <w:sz w:val="20"/>
                <w:szCs w:val="20"/>
              </w:rPr>
              <w:t xml:space="preserve">To get 262 kWh implies a RR of 25%. </w:t>
            </w:r>
          </w:p>
          <w:p w14:paraId="0B44C8B9" w14:textId="24405C71" w:rsidR="00862062" w:rsidRDefault="00862062" w:rsidP="00650EAB">
            <w:pPr>
              <w:rPr>
                <w:sz w:val="20"/>
                <w:szCs w:val="20"/>
              </w:rPr>
            </w:pPr>
          </w:p>
          <w:p w14:paraId="542730D8" w14:textId="18FCBF3F" w:rsidR="00862062" w:rsidRDefault="00862062" w:rsidP="00650EAB">
            <w:pPr>
              <w:rPr>
                <w:sz w:val="20"/>
                <w:szCs w:val="20"/>
              </w:rPr>
            </w:pPr>
            <w:r>
              <w:rPr>
                <w:sz w:val="20"/>
                <w:szCs w:val="20"/>
              </w:rPr>
              <w:t>Statewide blended RR would be 32% (.8*.34 + .2*.25).</w:t>
            </w:r>
          </w:p>
          <w:p w14:paraId="33419E84" w14:textId="77777777" w:rsidR="00862062" w:rsidRDefault="00862062" w:rsidP="00650EAB">
            <w:pPr>
              <w:rPr>
                <w:sz w:val="20"/>
                <w:szCs w:val="20"/>
              </w:rPr>
            </w:pPr>
          </w:p>
          <w:p w14:paraId="47FF7BAB" w14:textId="47BC3752" w:rsidR="00862062" w:rsidRPr="00393971" w:rsidRDefault="00862062" w:rsidP="00650EAB">
            <w:pPr>
              <w:rPr>
                <w:rFonts w:cstheme="minorHAnsi"/>
                <w:sz w:val="20"/>
                <w:szCs w:val="20"/>
              </w:rPr>
            </w:pPr>
            <w:r>
              <w:rPr>
                <w:sz w:val="20"/>
                <w:szCs w:val="20"/>
              </w:rPr>
              <w:t xml:space="preserve">HOWEVER, upon further discussion we continue to believe that our position as filed—to adopt HES results for HES-IE lighting—is a better reflection of likely lighting savings in 2020. We have significant doubts regarding the West Hill results of 262 kWh, given that they found HES lighting savings to be about twice as high (418 kWh) and that we would expect low-income homes to have higher levels of inefficient lighting to replace. In addition, low-income customers are more transient and further investigation of billing data has raised questions regarding how West Hill’s analysis of billing data accounted for customers with </w:t>
            </w:r>
            <w:r>
              <w:rPr>
                <w:sz w:val="20"/>
                <w:szCs w:val="20"/>
              </w:rPr>
              <w:lastRenderedPageBreak/>
              <w:t xml:space="preserve">multiple service addresses during the period. </w:t>
            </w:r>
          </w:p>
        </w:tc>
        <w:tc>
          <w:tcPr>
            <w:tcW w:w="1890" w:type="dxa"/>
          </w:tcPr>
          <w:p w14:paraId="737CC2B9" w14:textId="77777777" w:rsidR="009B36AA" w:rsidRDefault="00317DCB" w:rsidP="009B36AA">
            <w:pPr>
              <w:rPr>
                <w:rFonts w:cstheme="minorHAnsi"/>
                <w:sz w:val="20"/>
                <w:szCs w:val="20"/>
              </w:rPr>
            </w:pPr>
            <w:r w:rsidRPr="00D57CE2">
              <w:rPr>
                <w:rFonts w:cstheme="minorHAnsi"/>
                <w:sz w:val="20"/>
                <w:szCs w:val="20"/>
              </w:rPr>
              <w:lastRenderedPageBreak/>
              <w:t xml:space="preserve">EA Team is </w:t>
            </w:r>
            <w:r w:rsidR="009B36AA">
              <w:rPr>
                <w:rFonts w:cstheme="minorHAnsi"/>
                <w:sz w:val="20"/>
                <w:szCs w:val="20"/>
              </w:rPr>
              <w:t xml:space="preserve">most </w:t>
            </w:r>
            <w:r w:rsidRPr="00D57CE2">
              <w:rPr>
                <w:rFonts w:cstheme="minorHAnsi"/>
                <w:sz w:val="20"/>
                <w:szCs w:val="20"/>
              </w:rPr>
              <w:t xml:space="preserve">satisfied with Utility </w:t>
            </w:r>
            <w:r w:rsidRPr="00D57CE2">
              <w:rPr>
                <w:rFonts w:cstheme="minorHAnsi"/>
                <w:sz w:val="20"/>
                <w:szCs w:val="20"/>
              </w:rPr>
              <w:lastRenderedPageBreak/>
              <w:t xml:space="preserve">use </w:t>
            </w:r>
            <w:proofErr w:type="gramStart"/>
            <w:r w:rsidRPr="00D57CE2">
              <w:rPr>
                <w:rFonts w:cstheme="minorHAnsi"/>
                <w:sz w:val="20"/>
                <w:szCs w:val="20"/>
              </w:rPr>
              <w:t>of  either</w:t>
            </w:r>
            <w:proofErr w:type="gramEnd"/>
            <w:r w:rsidRPr="00D57CE2">
              <w:rPr>
                <w:rFonts w:cstheme="minorHAnsi"/>
                <w:sz w:val="20"/>
                <w:szCs w:val="20"/>
              </w:rPr>
              <w:t xml:space="preserve"> 34% / 25% or blended rate of 32%.</w:t>
            </w:r>
            <w:r w:rsidR="00E75EFB" w:rsidRPr="0050765A">
              <w:rPr>
                <w:rFonts w:cstheme="minorHAnsi"/>
                <w:sz w:val="20"/>
                <w:szCs w:val="20"/>
              </w:rPr>
              <w:t xml:space="preserve">  </w:t>
            </w:r>
            <w:r w:rsidRPr="00D57CE2">
              <w:rPr>
                <w:rFonts w:cstheme="minorHAnsi"/>
                <w:sz w:val="20"/>
                <w:szCs w:val="20"/>
              </w:rPr>
              <w:t xml:space="preserve">The final </w:t>
            </w:r>
            <w:r w:rsidR="00246FD5" w:rsidRPr="0050765A">
              <w:rPr>
                <w:rFonts w:cstheme="minorHAnsi"/>
                <w:sz w:val="20"/>
                <w:szCs w:val="20"/>
              </w:rPr>
              <w:t xml:space="preserve">HES-IE billing analysis </w:t>
            </w:r>
            <w:r w:rsidRPr="00D57CE2">
              <w:rPr>
                <w:rFonts w:cstheme="minorHAnsi"/>
                <w:sz w:val="20"/>
                <w:szCs w:val="20"/>
              </w:rPr>
              <w:t xml:space="preserve">results from the study identify the </w:t>
            </w:r>
            <w:proofErr w:type="gramStart"/>
            <w:r w:rsidRPr="00D57CE2">
              <w:rPr>
                <w:rFonts w:cstheme="minorHAnsi"/>
                <w:sz w:val="20"/>
                <w:szCs w:val="20"/>
              </w:rPr>
              <w:t xml:space="preserve">262 </w:t>
            </w:r>
            <w:r w:rsidR="00D57CE2" w:rsidRPr="0050765A">
              <w:rPr>
                <w:rFonts w:cstheme="minorHAnsi"/>
                <w:sz w:val="20"/>
                <w:szCs w:val="20"/>
              </w:rPr>
              <w:t>kWh</w:t>
            </w:r>
            <w:proofErr w:type="gramEnd"/>
            <w:r w:rsidR="00D57CE2" w:rsidRPr="0050765A">
              <w:rPr>
                <w:rFonts w:cstheme="minorHAnsi"/>
                <w:sz w:val="20"/>
                <w:szCs w:val="20"/>
              </w:rPr>
              <w:t xml:space="preserve"> </w:t>
            </w:r>
            <w:r w:rsidRPr="00D57CE2">
              <w:rPr>
                <w:rFonts w:cstheme="minorHAnsi"/>
                <w:sz w:val="20"/>
                <w:szCs w:val="20"/>
              </w:rPr>
              <w:t xml:space="preserve">savings estimate.  </w:t>
            </w:r>
            <w:r w:rsidR="009B36AA">
              <w:rPr>
                <w:rFonts w:cstheme="minorHAnsi"/>
                <w:sz w:val="20"/>
                <w:szCs w:val="20"/>
              </w:rPr>
              <w:t>S</w:t>
            </w:r>
            <w:r w:rsidR="00E75EFB" w:rsidRPr="0050765A">
              <w:rPr>
                <w:rFonts w:cstheme="minorHAnsi"/>
                <w:sz w:val="20"/>
                <w:szCs w:val="20"/>
              </w:rPr>
              <w:t xml:space="preserve">avings from the HES-IE program should be lower than HES (as estimated) because dwellings are smaller, more programs target this sector, and other reasons. </w:t>
            </w:r>
          </w:p>
          <w:p w14:paraId="083ECF7B" w14:textId="77777777" w:rsidR="009B36AA" w:rsidRDefault="009B36AA" w:rsidP="009B36AA">
            <w:pPr>
              <w:rPr>
                <w:rFonts w:cstheme="minorHAnsi"/>
                <w:sz w:val="20"/>
                <w:szCs w:val="20"/>
              </w:rPr>
            </w:pPr>
          </w:p>
          <w:p w14:paraId="1C67A466" w14:textId="699A4AD1" w:rsidR="00317DCB" w:rsidRPr="0050765A" w:rsidRDefault="009B36AA" w:rsidP="009B36AA">
            <w:pPr>
              <w:rPr>
                <w:rFonts w:cstheme="minorHAnsi"/>
                <w:sz w:val="20"/>
                <w:szCs w:val="20"/>
                <w:highlight w:val="yellow"/>
              </w:rPr>
            </w:pPr>
            <w:r>
              <w:rPr>
                <w:rFonts w:cstheme="minorHAnsi"/>
                <w:sz w:val="20"/>
                <w:szCs w:val="20"/>
              </w:rPr>
              <w:t xml:space="preserve">HOWEVER, to provide a compromise, EA Team agrees to Utility request to use HES realization rate / savings value for HES-IE as well.  </w:t>
            </w:r>
          </w:p>
        </w:tc>
        <w:tc>
          <w:tcPr>
            <w:tcW w:w="1800" w:type="dxa"/>
          </w:tcPr>
          <w:p w14:paraId="5C78734F" w14:textId="77777777" w:rsidR="00862062" w:rsidRDefault="009B36AA" w:rsidP="00650EAB">
            <w:pPr>
              <w:rPr>
                <w:rFonts w:cstheme="minorHAnsi"/>
                <w:sz w:val="20"/>
                <w:szCs w:val="20"/>
              </w:rPr>
            </w:pPr>
            <w:r>
              <w:rPr>
                <w:rFonts w:cstheme="minorHAnsi"/>
                <w:sz w:val="20"/>
                <w:szCs w:val="20"/>
              </w:rPr>
              <w:lastRenderedPageBreak/>
              <w:t xml:space="preserve">Resolved / agreed.  </w:t>
            </w:r>
          </w:p>
          <w:p w14:paraId="755610E6" w14:textId="77777777" w:rsidR="009B36AA" w:rsidRDefault="009B36AA" w:rsidP="00650EAB">
            <w:pPr>
              <w:rPr>
                <w:rFonts w:cstheme="minorHAnsi"/>
                <w:sz w:val="20"/>
                <w:szCs w:val="20"/>
              </w:rPr>
            </w:pPr>
          </w:p>
          <w:p w14:paraId="0772C5C3" w14:textId="759A7C2C" w:rsidR="009B36AA" w:rsidRPr="00393971" w:rsidRDefault="009B36AA" w:rsidP="00650EAB">
            <w:pPr>
              <w:rPr>
                <w:rFonts w:cstheme="minorHAnsi"/>
                <w:sz w:val="20"/>
                <w:szCs w:val="20"/>
              </w:rPr>
            </w:pPr>
            <w:r>
              <w:rPr>
                <w:rFonts w:cstheme="minorHAnsi"/>
                <w:sz w:val="20"/>
                <w:szCs w:val="20"/>
              </w:rPr>
              <w:lastRenderedPageBreak/>
              <w:t>EA team agrees to Utility request to use HES values for HES-IE as well.</w:t>
            </w:r>
          </w:p>
        </w:tc>
      </w:tr>
      <w:tr w:rsidR="00862062" w:rsidRPr="00393971" w14:paraId="5CD6E6FD" w14:textId="5B7C7ADC" w:rsidTr="0050765A">
        <w:tc>
          <w:tcPr>
            <w:tcW w:w="1116" w:type="dxa"/>
            <w:shd w:val="clear" w:color="auto" w:fill="DEEAF6" w:themeFill="accent5" w:themeFillTint="33"/>
          </w:tcPr>
          <w:p w14:paraId="4ABC12C1" w14:textId="3333B31E" w:rsidR="00862062" w:rsidRPr="00393971" w:rsidRDefault="00862062" w:rsidP="00650EAB">
            <w:pPr>
              <w:rPr>
                <w:rFonts w:cstheme="minorHAnsi"/>
                <w:sz w:val="20"/>
                <w:szCs w:val="20"/>
              </w:rPr>
            </w:pPr>
            <w:r>
              <w:rPr>
                <w:rFonts w:cstheme="minorHAnsi"/>
                <w:sz w:val="20"/>
                <w:szCs w:val="20"/>
              </w:rPr>
              <w:lastRenderedPageBreak/>
              <w:t>3</w:t>
            </w:r>
            <w:r w:rsidRPr="00393971">
              <w:rPr>
                <w:rFonts w:cstheme="minorHAnsi"/>
                <w:sz w:val="20"/>
                <w:szCs w:val="20"/>
              </w:rPr>
              <w:t>. Duct Sealing</w:t>
            </w:r>
          </w:p>
        </w:tc>
        <w:tc>
          <w:tcPr>
            <w:tcW w:w="1489" w:type="dxa"/>
          </w:tcPr>
          <w:p w14:paraId="2C284FE1" w14:textId="1B6C46D4" w:rsidR="00862062" w:rsidRPr="00393971" w:rsidRDefault="00862062" w:rsidP="00650EAB">
            <w:pPr>
              <w:rPr>
                <w:rFonts w:cstheme="minorHAnsi"/>
                <w:sz w:val="20"/>
                <w:szCs w:val="20"/>
              </w:rPr>
            </w:pPr>
            <w:r>
              <w:rPr>
                <w:rFonts w:cstheme="minorHAnsi"/>
                <w:sz w:val="20"/>
                <w:szCs w:val="20"/>
              </w:rPr>
              <w:t>Only combination measure value available</w:t>
            </w:r>
          </w:p>
        </w:tc>
        <w:tc>
          <w:tcPr>
            <w:tcW w:w="1530" w:type="dxa"/>
          </w:tcPr>
          <w:p w14:paraId="218D3572" w14:textId="0E695AD1" w:rsidR="00862062" w:rsidRPr="00393971" w:rsidRDefault="00862062" w:rsidP="00650EAB">
            <w:pPr>
              <w:rPr>
                <w:rFonts w:cstheme="minorHAnsi"/>
                <w:sz w:val="20"/>
                <w:szCs w:val="20"/>
              </w:rPr>
            </w:pPr>
            <w:r>
              <w:rPr>
                <w:rFonts w:cstheme="minorHAnsi"/>
                <w:sz w:val="20"/>
                <w:szCs w:val="20"/>
              </w:rPr>
              <w:t>RR=92.5%</w:t>
            </w:r>
          </w:p>
        </w:tc>
        <w:tc>
          <w:tcPr>
            <w:tcW w:w="1620" w:type="dxa"/>
          </w:tcPr>
          <w:p w14:paraId="41480D90" w14:textId="046376DD" w:rsidR="00862062" w:rsidRPr="00393971" w:rsidRDefault="00862062" w:rsidP="00650EAB">
            <w:pPr>
              <w:rPr>
                <w:rFonts w:cstheme="minorHAnsi"/>
                <w:sz w:val="20"/>
                <w:szCs w:val="20"/>
              </w:rPr>
            </w:pPr>
            <w:r>
              <w:rPr>
                <w:rFonts w:cstheme="minorHAnsi"/>
                <w:sz w:val="20"/>
                <w:szCs w:val="20"/>
              </w:rPr>
              <w:t>Agree with Utility Treatment</w:t>
            </w:r>
          </w:p>
        </w:tc>
        <w:tc>
          <w:tcPr>
            <w:tcW w:w="1890" w:type="dxa"/>
          </w:tcPr>
          <w:p w14:paraId="043D1B2B" w14:textId="1FBF4314" w:rsidR="00862062" w:rsidRPr="00393971" w:rsidRDefault="00862062" w:rsidP="00650EAB">
            <w:pPr>
              <w:rPr>
                <w:rFonts w:cstheme="minorHAnsi"/>
                <w:sz w:val="20"/>
                <w:szCs w:val="20"/>
              </w:rPr>
            </w:pPr>
            <w:r>
              <w:rPr>
                <w:rFonts w:cstheme="minorHAnsi"/>
                <w:sz w:val="20"/>
                <w:szCs w:val="20"/>
              </w:rPr>
              <w:t>Agree</w:t>
            </w:r>
          </w:p>
        </w:tc>
        <w:tc>
          <w:tcPr>
            <w:tcW w:w="2700" w:type="dxa"/>
          </w:tcPr>
          <w:p w14:paraId="3747E988" w14:textId="77777777" w:rsidR="00862062" w:rsidRPr="00393971" w:rsidRDefault="00862062" w:rsidP="00650EAB">
            <w:pPr>
              <w:rPr>
                <w:rFonts w:cstheme="minorHAnsi"/>
                <w:sz w:val="20"/>
                <w:szCs w:val="20"/>
              </w:rPr>
            </w:pPr>
          </w:p>
        </w:tc>
        <w:tc>
          <w:tcPr>
            <w:tcW w:w="1890" w:type="dxa"/>
          </w:tcPr>
          <w:p w14:paraId="49A31D84" w14:textId="77777777" w:rsidR="00862062" w:rsidRDefault="00862062" w:rsidP="00650EAB">
            <w:pPr>
              <w:rPr>
                <w:rFonts w:cstheme="minorHAnsi"/>
                <w:sz w:val="20"/>
                <w:szCs w:val="20"/>
              </w:rPr>
            </w:pPr>
          </w:p>
        </w:tc>
        <w:tc>
          <w:tcPr>
            <w:tcW w:w="1800" w:type="dxa"/>
          </w:tcPr>
          <w:p w14:paraId="51823A2A" w14:textId="0AADEBB6" w:rsidR="00862062" w:rsidRPr="00393971" w:rsidRDefault="00862062" w:rsidP="00650EAB">
            <w:pPr>
              <w:rPr>
                <w:rFonts w:cstheme="minorHAnsi"/>
                <w:sz w:val="20"/>
                <w:szCs w:val="20"/>
              </w:rPr>
            </w:pPr>
            <w:r>
              <w:rPr>
                <w:rFonts w:cstheme="minorHAnsi"/>
                <w:sz w:val="20"/>
                <w:szCs w:val="20"/>
              </w:rPr>
              <w:t>Resolved / agreed</w:t>
            </w:r>
            <w:r w:rsidR="009B36AA">
              <w:rPr>
                <w:rFonts w:cstheme="minorHAnsi"/>
                <w:sz w:val="20"/>
                <w:szCs w:val="20"/>
              </w:rPr>
              <w:t xml:space="preserve">.  </w:t>
            </w:r>
          </w:p>
        </w:tc>
      </w:tr>
      <w:tr w:rsidR="00862062" w:rsidRPr="00393971" w14:paraId="3AF4E5FC" w14:textId="0BFE3AD9" w:rsidTr="0050765A">
        <w:tc>
          <w:tcPr>
            <w:tcW w:w="1116" w:type="dxa"/>
            <w:shd w:val="clear" w:color="auto" w:fill="DEEAF6" w:themeFill="accent5" w:themeFillTint="33"/>
          </w:tcPr>
          <w:p w14:paraId="4F0D388B" w14:textId="6FD740BC" w:rsidR="00862062" w:rsidRPr="00393971" w:rsidRDefault="00862062" w:rsidP="00650EAB">
            <w:pPr>
              <w:rPr>
                <w:rFonts w:cstheme="minorHAnsi"/>
                <w:sz w:val="20"/>
                <w:szCs w:val="20"/>
              </w:rPr>
            </w:pPr>
            <w:r>
              <w:rPr>
                <w:rFonts w:cstheme="minorHAnsi"/>
                <w:sz w:val="20"/>
                <w:szCs w:val="20"/>
              </w:rPr>
              <w:t>4</w:t>
            </w:r>
            <w:r w:rsidRPr="00393971">
              <w:rPr>
                <w:rFonts w:cstheme="minorHAnsi"/>
                <w:sz w:val="20"/>
                <w:szCs w:val="20"/>
              </w:rPr>
              <w:t>. DHP</w:t>
            </w:r>
          </w:p>
        </w:tc>
        <w:tc>
          <w:tcPr>
            <w:tcW w:w="1489" w:type="dxa"/>
          </w:tcPr>
          <w:p w14:paraId="493F0E0D" w14:textId="2D89EB67" w:rsidR="00862062" w:rsidRPr="00393971" w:rsidRDefault="00862062" w:rsidP="00650EAB">
            <w:pPr>
              <w:rPr>
                <w:rFonts w:cstheme="minorHAnsi"/>
                <w:sz w:val="20"/>
                <w:szCs w:val="20"/>
              </w:rPr>
            </w:pPr>
            <w:r>
              <w:rPr>
                <w:rFonts w:cstheme="minorHAnsi"/>
                <w:sz w:val="20"/>
                <w:szCs w:val="20"/>
              </w:rPr>
              <w:t>Adjust savings algorithm per 2016 Cadmus</w:t>
            </w:r>
          </w:p>
        </w:tc>
        <w:tc>
          <w:tcPr>
            <w:tcW w:w="1530" w:type="dxa"/>
          </w:tcPr>
          <w:p w14:paraId="130AF599" w14:textId="1509786C" w:rsidR="00862062" w:rsidRPr="00393971" w:rsidRDefault="00862062" w:rsidP="00650EAB">
            <w:pPr>
              <w:rPr>
                <w:rFonts w:cstheme="minorHAnsi"/>
                <w:sz w:val="20"/>
                <w:szCs w:val="20"/>
              </w:rPr>
            </w:pPr>
            <w:r>
              <w:rPr>
                <w:rFonts w:cstheme="minorHAnsi"/>
                <w:sz w:val="20"/>
                <w:szCs w:val="20"/>
              </w:rPr>
              <w:t>Adjust savings algorithm per 2016 Cadmus</w:t>
            </w:r>
          </w:p>
        </w:tc>
        <w:tc>
          <w:tcPr>
            <w:tcW w:w="1620" w:type="dxa"/>
          </w:tcPr>
          <w:p w14:paraId="267C9F23" w14:textId="53DC42F3" w:rsidR="00862062" w:rsidRPr="00393971" w:rsidRDefault="00862062" w:rsidP="00650EAB">
            <w:pPr>
              <w:rPr>
                <w:rFonts w:cstheme="minorHAnsi"/>
                <w:sz w:val="20"/>
                <w:szCs w:val="20"/>
              </w:rPr>
            </w:pPr>
            <w:r>
              <w:rPr>
                <w:rFonts w:cstheme="minorHAnsi"/>
                <w:sz w:val="20"/>
                <w:szCs w:val="20"/>
              </w:rPr>
              <w:t>Agree with Utility Treatment</w:t>
            </w:r>
          </w:p>
        </w:tc>
        <w:tc>
          <w:tcPr>
            <w:tcW w:w="1890" w:type="dxa"/>
          </w:tcPr>
          <w:p w14:paraId="15F1D02B" w14:textId="6F229619" w:rsidR="00862062" w:rsidRPr="00393971" w:rsidRDefault="00862062" w:rsidP="00650EAB">
            <w:pPr>
              <w:rPr>
                <w:rFonts w:cstheme="minorHAnsi"/>
                <w:sz w:val="20"/>
                <w:szCs w:val="20"/>
              </w:rPr>
            </w:pPr>
            <w:r>
              <w:rPr>
                <w:rFonts w:cstheme="minorHAnsi"/>
                <w:sz w:val="20"/>
                <w:szCs w:val="20"/>
              </w:rPr>
              <w:t>Agree</w:t>
            </w:r>
          </w:p>
        </w:tc>
        <w:tc>
          <w:tcPr>
            <w:tcW w:w="2700" w:type="dxa"/>
          </w:tcPr>
          <w:p w14:paraId="78CBBBEA" w14:textId="77777777" w:rsidR="00862062" w:rsidRPr="00393971" w:rsidRDefault="00862062" w:rsidP="00650EAB">
            <w:pPr>
              <w:rPr>
                <w:rFonts w:cstheme="minorHAnsi"/>
                <w:sz w:val="20"/>
                <w:szCs w:val="20"/>
              </w:rPr>
            </w:pPr>
          </w:p>
        </w:tc>
        <w:tc>
          <w:tcPr>
            <w:tcW w:w="1890" w:type="dxa"/>
          </w:tcPr>
          <w:p w14:paraId="3085C6FA" w14:textId="77777777" w:rsidR="00862062" w:rsidRPr="00617873" w:rsidRDefault="00862062" w:rsidP="00650EAB">
            <w:pPr>
              <w:rPr>
                <w:rFonts w:cstheme="minorHAnsi"/>
                <w:sz w:val="20"/>
                <w:szCs w:val="20"/>
              </w:rPr>
            </w:pPr>
          </w:p>
        </w:tc>
        <w:tc>
          <w:tcPr>
            <w:tcW w:w="1800" w:type="dxa"/>
          </w:tcPr>
          <w:p w14:paraId="3324454A" w14:textId="11B038F5" w:rsidR="00862062" w:rsidRPr="00393971" w:rsidRDefault="00862062" w:rsidP="00650EAB">
            <w:pPr>
              <w:rPr>
                <w:rFonts w:cstheme="minorHAnsi"/>
                <w:sz w:val="20"/>
                <w:szCs w:val="20"/>
              </w:rPr>
            </w:pPr>
            <w:r>
              <w:rPr>
                <w:rFonts w:cstheme="minorHAnsi"/>
                <w:sz w:val="20"/>
                <w:szCs w:val="20"/>
              </w:rPr>
              <w:t>Resolved / Agreed</w:t>
            </w:r>
          </w:p>
        </w:tc>
      </w:tr>
      <w:tr w:rsidR="00862062" w:rsidRPr="00393971" w14:paraId="34CC2FB9" w14:textId="77777777" w:rsidTr="0050765A">
        <w:tc>
          <w:tcPr>
            <w:tcW w:w="1116" w:type="dxa"/>
            <w:shd w:val="clear" w:color="auto" w:fill="DEEAF6" w:themeFill="accent5" w:themeFillTint="33"/>
          </w:tcPr>
          <w:p w14:paraId="78E4740C" w14:textId="77777777" w:rsidR="00862062" w:rsidRPr="00393971" w:rsidRDefault="00862062" w:rsidP="00650EAB">
            <w:pPr>
              <w:rPr>
                <w:rFonts w:cstheme="minorHAnsi"/>
                <w:sz w:val="20"/>
                <w:szCs w:val="20"/>
              </w:rPr>
            </w:pPr>
            <w:r>
              <w:rPr>
                <w:rFonts w:cstheme="minorHAnsi"/>
                <w:sz w:val="20"/>
                <w:szCs w:val="20"/>
              </w:rPr>
              <w:t>5</w:t>
            </w:r>
            <w:r w:rsidRPr="00393971">
              <w:rPr>
                <w:rFonts w:cstheme="minorHAnsi"/>
                <w:sz w:val="20"/>
                <w:szCs w:val="20"/>
              </w:rPr>
              <w:t>. Delivered Fuels</w:t>
            </w:r>
          </w:p>
        </w:tc>
        <w:tc>
          <w:tcPr>
            <w:tcW w:w="1489" w:type="dxa"/>
          </w:tcPr>
          <w:p w14:paraId="6F44F7E7" w14:textId="77777777" w:rsidR="00862062" w:rsidRPr="00393971" w:rsidRDefault="00862062" w:rsidP="00650EAB">
            <w:pPr>
              <w:rPr>
                <w:rFonts w:cstheme="minorHAnsi"/>
                <w:sz w:val="20"/>
                <w:szCs w:val="20"/>
              </w:rPr>
            </w:pPr>
            <w:r>
              <w:rPr>
                <w:rFonts w:cstheme="minorHAnsi"/>
                <w:sz w:val="20"/>
                <w:szCs w:val="20"/>
              </w:rPr>
              <w:t xml:space="preserve">No separate analysis included, Natural gas findings should be applied. </w:t>
            </w:r>
          </w:p>
        </w:tc>
        <w:tc>
          <w:tcPr>
            <w:tcW w:w="1530" w:type="dxa"/>
          </w:tcPr>
          <w:p w14:paraId="43E74963" w14:textId="3C0FC3FA" w:rsidR="00862062" w:rsidRPr="00A66A2F" w:rsidRDefault="00862062" w:rsidP="00650EAB">
            <w:pPr>
              <w:rPr>
                <w:rFonts w:cstheme="minorHAnsi"/>
                <w:sz w:val="20"/>
                <w:szCs w:val="20"/>
              </w:rPr>
            </w:pPr>
            <w:r w:rsidRPr="00A66A2F">
              <w:rPr>
                <w:rFonts w:cstheme="minorHAnsi"/>
                <w:sz w:val="20"/>
                <w:szCs w:val="20"/>
              </w:rPr>
              <w:t>Revert back to old RRs for delivered fuels.</w:t>
            </w:r>
            <w:r>
              <w:rPr>
                <w:rFonts w:cstheme="minorHAnsi"/>
                <w:sz w:val="20"/>
                <w:szCs w:val="20"/>
              </w:rPr>
              <w:t xml:space="preserve"> </w:t>
            </w:r>
            <w:r w:rsidRPr="00A66A2F">
              <w:rPr>
                <w:rFonts w:cstheme="minorHAnsi"/>
                <w:sz w:val="20"/>
                <w:szCs w:val="20"/>
              </w:rPr>
              <w:t xml:space="preserve">Recommend separate delivered fuels study. </w:t>
            </w:r>
          </w:p>
        </w:tc>
        <w:tc>
          <w:tcPr>
            <w:tcW w:w="1620" w:type="dxa"/>
          </w:tcPr>
          <w:p w14:paraId="1AF7272B" w14:textId="2C3EA27C" w:rsidR="00862062" w:rsidRPr="00A66A2F" w:rsidRDefault="00862062" w:rsidP="00650EAB">
            <w:pPr>
              <w:rPr>
                <w:rFonts w:cstheme="minorHAnsi"/>
                <w:sz w:val="20"/>
                <w:szCs w:val="20"/>
              </w:rPr>
            </w:pPr>
            <w:r w:rsidRPr="00A66A2F">
              <w:rPr>
                <w:rFonts w:cstheme="minorHAnsi"/>
                <w:sz w:val="20"/>
                <w:szCs w:val="20"/>
              </w:rPr>
              <w:t>Use same savings values as found for natural gas</w:t>
            </w:r>
            <w:r>
              <w:rPr>
                <w:rFonts w:cstheme="minorHAnsi"/>
                <w:sz w:val="20"/>
                <w:szCs w:val="20"/>
              </w:rPr>
              <w:t>; this is best practice in other states.</w:t>
            </w:r>
          </w:p>
        </w:tc>
        <w:tc>
          <w:tcPr>
            <w:tcW w:w="1890" w:type="dxa"/>
          </w:tcPr>
          <w:p w14:paraId="16A66C0C" w14:textId="77777777" w:rsidR="00862062" w:rsidRPr="00A66A2F" w:rsidRDefault="00862062" w:rsidP="00650EAB">
            <w:pPr>
              <w:rPr>
                <w:rFonts w:cstheme="minorHAnsi"/>
                <w:sz w:val="20"/>
                <w:szCs w:val="20"/>
              </w:rPr>
            </w:pPr>
            <w:r w:rsidRPr="00A66A2F">
              <w:rPr>
                <w:rFonts w:cstheme="minorHAnsi"/>
                <w:sz w:val="20"/>
                <w:szCs w:val="20"/>
              </w:rPr>
              <w:t xml:space="preserve">Higher RR than defensible.  Recommendation for delivered fuels study infeasible / not recommended / not standard practice. </w:t>
            </w:r>
          </w:p>
        </w:tc>
        <w:tc>
          <w:tcPr>
            <w:tcW w:w="2700" w:type="dxa"/>
          </w:tcPr>
          <w:p w14:paraId="1AD6353C" w14:textId="1EA28FCF" w:rsidR="00617873" w:rsidRDefault="00617873" w:rsidP="00650EAB">
            <w:pPr>
              <w:rPr>
                <w:rFonts w:cstheme="minorHAnsi"/>
                <w:sz w:val="20"/>
                <w:szCs w:val="20"/>
              </w:rPr>
            </w:pPr>
            <w:r>
              <w:rPr>
                <w:rFonts w:cstheme="minorHAnsi"/>
                <w:sz w:val="20"/>
                <w:szCs w:val="20"/>
              </w:rPr>
              <w:t xml:space="preserve">Utilities prefer to </w:t>
            </w:r>
            <w:r w:rsidR="00862062" w:rsidRPr="00113F0C">
              <w:rPr>
                <w:rFonts w:cstheme="minorHAnsi"/>
                <w:sz w:val="20"/>
                <w:szCs w:val="20"/>
              </w:rPr>
              <w:t>maintain our position as filed</w:t>
            </w:r>
            <w:r w:rsidR="00862062">
              <w:rPr>
                <w:rFonts w:cstheme="minorHAnsi"/>
                <w:sz w:val="20"/>
                <w:szCs w:val="20"/>
              </w:rPr>
              <w:t>.</w:t>
            </w:r>
            <w:r w:rsidR="00862062" w:rsidRPr="00113F0C">
              <w:rPr>
                <w:rFonts w:cstheme="minorHAnsi"/>
                <w:sz w:val="20"/>
                <w:szCs w:val="20"/>
              </w:rPr>
              <w:t xml:space="preserve"> </w:t>
            </w:r>
            <w:r w:rsidR="00862062">
              <w:rPr>
                <w:rFonts w:cstheme="minorHAnsi"/>
                <w:sz w:val="20"/>
                <w:szCs w:val="20"/>
              </w:rPr>
              <w:t xml:space="preserve">Given the already substantial uncertainties regarding the electric and gas results, we are not comfortable adding another layer of uncertainty in applying these results to fuels that were not included West Hill’s </w:t>
            </w:r>
            <w:r>
              <w:rPr>
                <w:rFonts w:cstheme="minorHAnsi"/>
                <w:sz w:val="20"/>
                <w:szCs w:val="20"/>
              </w:rPr>
              <w:t xml:space="preserve">CT </w:t>
            </w:r>
            <w:r w:rsidR="00862062">
              <w:rPr>
                <w:rFonts w:cstheme="minorHAnsi"/>
                <w:sz w:val="20"/>
                <w:szCs w:val="20"/>
              </w:rPr>
              <w:t xml:space="preserve">analysis. </w:t>
            </w:r>
            <w:r>
              <w:rPr>
                <w:rFonts w:cstheme="minorHAnsi"/>
                <w:sz w:val="20"/>
                <w:szCs w:val="20"/>
              </w:rPr>
              <w:t xml:space="preserve">For </w:t>
            </w:r>
            <w:r w:rsidR="00862062" w:rsidRPr="0050765A">
              <w:rPr>
                <w:rFonts w:cstheme="minorHAnsi"/>
                <w:sz w:val="20"/>
                <w:szCs w:val="20"/>
              </w:rPr>
              <w:t xml:space="preserve">NYSERDA’s </w:t>
            </w:r>
            <w:proofErr w:type="spellStart"/>
            <w:r w:rsidR="00862062" w:rsidRPr="0050765A">
              <w:rPr>
                <w:rFonts w:cstheme="minorHAnsi"/>
                <w:sz w:val="20"/>
                <w:szCs w:val="20"/>
              </w:rPr>
              <w:t>HPwES</w:t>
            </w:r>
            <w:proofErr w:type="spellEnd"/>
            <w:r w:rsidR="00862062" w:rsidRPr="0050765A">
              <w:rPr>
                <w:rFonts w:cstheme="minorHAnsi"/>
                <w:sz w:val="20"/>
                <w:szCs w:val="20"/>
              </w:rPr>
              <w:t xml:space="preserve"> program</w:t>
            </w:r>
            <w:r>
              <w:rPr>
                <w:rFonts w:cstheme="minorHAnsi"/>
                <w:sz w:val="20"/>
                <w:szCs w:val="20"/>
              </w:rPr>
              <w:t xml:space="preserve">, Westhill found </w:t>
            </w:r>
            <w:r w:rsidR="00862062" w:rsidRPr="0050765A">
              <w:rPr>
                <w:rFonts w:cstheme="minorHAnsi"/>
                <w:sz w:val="20"/>
                <w:szCs w:val="20"/>
              </w:rPr>
              <w:t xml:space="preserve">realization rates </w:t>
            </w:r>
            <w:r>
              <w:rPr>
                <w:rFonts w:cstheme="minorHAnsi"/>
                <w:sz w:val="20"/>
                <w:szCs w:val="20"/>
              </w:rPr>
              <w:t xml:space="preserve">of </w:t>
            </w:r>
            <w:r w:rsidR="00862062" w:rsidRPr="0050765A">
              <w:rPr>
                <w:rFonts w:cstheme="minorHAnsi"/>
                <w:sz w:val="20"/>
                <w:szCs w:val="20"/>
              </w:rPr>
              <w:t xml:space="preserve">48 percent for natural gas and 60 percent for delivered fuels, </w:t>
            </w:r>
            <w:r>
              <w:rPr>
                <w:rFonts w:cstheme="minorHAnsi"/>
                <w:sz w:val="20"/>
                <w:szCs w:val="20"/>
              </w:rPr>
              <w:t xml:space="preserve">so studies are possible.  </w:t>
            </w:r>
          </w:p>
          <w:p w14:paraId="6FB9D4A1" w14:textId="77777777" w:rsidR="00617873" w:rsidRDefault="00617873" w:rsidP="00650EAB">
            <w:pPr>
              <w:rPr>
                <w:rFonts w:cstheme="minorHAnsi"/>
                <w:sz w:val="20"/>
                <w:szCs w:val="20"/>
              </w:rPr>
            </w:pPr>
          </w:p>
          <w:p w14:paraId="098BD085" w14:textId="1207F50F" w:rsidR="00862062" w:rsidRPr="00113F0C" w:rsidRDefault="00617873" w:rsidP="00650EAB">
            <w:pPr>
              <w:rPr>
                <w:rFonts w:cstheme="minorHAnsi"/>
                <w:sz w:val="20"/>
                <w:szCs w:val="20"/>
              </w:rPr>
            </w:pPr>
            <w:r>
              <w:rPr>
                <w:rFonts w:cstheme="minorHAnsi"/>
                <w:sz w:val="20"/>
                <w:szCs w:val="20"/>
              </w:rPr>
              <w:t xml:space="preserve">HOWEVER, in the spirit of compromise, the utilities agree to accept the study’s gas results being applied to delivered fuels.  </w:t>
            </w:r>
            <w:r w:rsidR="00862062">
              <w:rPr>
                <w:rFonts w:cstheme="minorHAnsi"/>
                <w:sz w:val="20"/>
                <w:szCs w:val="20"/>
              </w:rPr>
              <w:t xml:space="preserve"> </w:t>
            </w:r>
          </w:p>
        </w:tc>
        <w:tc>
          <w:tcPr>
            <w:tcW w:w="1890" w:type="dxa"/>
          </w:tcPr>
          <w:p w14:paraId="08B4DFE4" w14:textId="74501DF6" w:rsidR="00862062" w:rsidRPr="00BC1F12" w:rsidRDefault="00617873" w:rsidP="00650EAB">
            <w:pPr>
              <w:rPr>
                <w:rFonts w:cstheme="minorHAnsi"/>
                <w:sz w:val="20"/>
                <w:szCs w:val="20"/>
              </w:rPr>
            </w:pPr>
            <w:r w:rsidRPr="00617873">
              <w:rPr>
                <w:rFonts w:cstheme="minorHAnsi"/>
                <w:sz w:val="20"/>
                <w:szCs w:val="20"/>
              </w:rPr>
              <w:t xml:space="preserve">The EA Team believes </w:t>
            </w:r>
            <w:r w:rsidRPr="0050765A">
              <w:rPr>
                <w:sz w:val="20"/>
                <w:szCs w:val="20"/>
              </w:rPr>
              <w:t>that savings amounts for delivered fuels should be set to the same savings amount as found for gas. </w:t>
            </w:r>
            <w:r w:rsidR="003E0C4B" w:rsidRPr="00617873">
              <w:rPr>
                <w:rFonts w:cstheme="minorHAnsi"/>
                <w:sz w:val="20"/>
                <w:szCs w:val="20"/>
              </w:rPr>
              <w:t xml:space="preserve">Best practice indicates </w:t>
            </w:r>
            <w:r w:rsidR="003E0C4B" w:rsidRPr="003F7158">
              <w:rPr>
                <w:rFonts w:cstheme="minorHAnsi"/>
                <w:sz w:val="20"/>
                <w:szCs w:val="20"/>
              </w:rPr>
              <w:t xml:space="preserve">translated savings from NG should be used.  </w:t>
            </w:r>
          </w:p>
        </w:tc>
        <w:tc>
          <w:tcPr>
            <w:tcW w:w="1800" w:type="dxa"/>
          </w:tcPr>
          <w:p w14:paraId="316BCCF7" w14:textId="77777777" w:rsidR="00862062" w:rsidRDefault="009B36AA" w:rsidP="00650EAB">
            <w:pPr>
              <w:rPr>
                <w:rFonts w:cstheme="minorHAnsi"/>
                <w:sz w:val="20"/>
                <w:szCs w:val="20"/>
              </w:rPr>
            </w:pPr>
            <w:r>
              <w:rPr>
                <w:rFonts w:cstheme="minorHAnsi"/>
                <w:sz w:val="20"/>
                <w:szCs w:val="20"/>
              </w:rPr>
              <w:t xml:space="preserve">Resolved / Agreed. </w:t>
            </w:r>
          </w:p>
          <w:p w14:paraId="7A9DA416" w14:textId="77777777" w:rsidR="009B36AA" w:rsidRDefault="009B36AA" w:rsidP="00650EAB">
            <w:pPr>
              <w:rPr>
                <w:rFonts w:cstheme="minorHAnsi"/>
                <w:sz w:val="20"/>
                <w:szCs w:val="20"/>
              </w:rPr>
            </w:pPr>
          </w:p>
          <w:p w14:paraId="53CB2EB8" w14:textId="6E8EBE08" w:rsidR="009B36AA" w:rsidRPr="00393971" w:rsidRDefault="009B36AA" w:rsidP="00650EAB">
            <w:pPr>
              <w:rPr>
                <w:rFonts w:cstheme="minorHAnsi"/>
                <w:sz w:val="20"/>
                <w:szCs w:val="20"/>
              </w:rPr>
            </w:pPr>
            <w:r>
              <w:rPr>
                <w:rFonts w:cstheme="minorHAnsi"/>
                <w:sz w:val="20"/>
                <w:szCs w:val="20"/>
              </w:rPr>
              <w:t>Utilities agree to adopt NG values per EA Team proposal.</w:t>
            </w:r>
          </w:p>
        </w:tc>
      </w:tr>
      <w:tr w:rsidR="00862062" w:rsidRPr="00BF6F10" w14:paraId="2EAB6D4E" w14:textId="77777777" w:rsidTr="0050765A">
        <w:tc>
          <w:tcPr>
            <w:tcW w:w="1116" w:type="dxa"/>
            <w:shd w:val="clear" w:color="auto" w:fill="DEEAF6" w:themeFill="accent5" w:themeFillTint="33"/>
          </w:tcPr>
          <w:p w14:paraId="184F8EBF" w14:textId="77777777" w:rsidR="00862062" w:rsidRPr="00BF6F10" w:rsidRDefault="00862062" w:rsidP="00650EAB">
            <w:pPr>
              <w:rPr>
                <w:rFonts w:cstheme="minorHAnsi"/>
                <w:sz w:val="20"/>
                <w:szCs w:val="20"/>
              </w:rPr>
            </w:pPr>
            <w:r>
              <w:rPr>
                <w:rFonts w:cstheme="minorHAnsi"/>
                <w:sz w:val="20"/>
                <w:szCs w:val="20"/>
              </w:rPr>
              <w:lastRenderedPageBreak/>
              <w:t xml:space="preserve">6. Gas Savings Insulation – HES - Eversource </w:t>
            </w:r>
          </w:p>
        </w:tc>
        <w:tc>
          <w:tcPr>
            <w:tcW w:w="1489" w:type="dxa"/>
          </w:tcPr>
          <w:p w14:paraId="3F23F440" w14:textId="77777777" w:rsidR="00862062" w:rsidRPr="00BF6F10" w:rsidRDefault="00862062" w:rsidP="00650EAB">
            <w:pPr>
              <w:rPr>
                <w:rFonts w:cstheme="minorHAnsi"/>
                <w:sz w:val="20"/>
                <w:szCs w:val="20"/>
              </w:rPr>
            </w:pPr>
            <w:r>
              <w:rPr>
                <w:rFonts w:cstheme="minorHAnsi"/>
                <w:sz w:val="20"/>
                <w:szCs w:val="20"/>
              </w:rPr>
              <w:t>15.4 MCF; results in 124% RR based on Utility reported savings of 12.4 MCF</w:t>
            </w:r>
          </w:p>
        </w:tc>
        <w:tc>
          <w:tcPr>
            <w:tcW w:w="1530" w:type="dxa"/>
          </w:tcPr>
          <w:p w14:paraId="615E244C" w14:textId="77777777" w:rsidR="00862062" w:rsidRPr="00BF6F10" w:rsidRDefault="00862062" w:rsidP="00650EAB">
            <w:pPr>
              <w:rPr>
                <w:rFonts w:cstheme="minorHAnsi"/>
                <w:sz w:val="20"/>
                <w:szCs w:val="20"/>
              </w:rPr>
            </w:pPr>
            <w:r>
              <w:rPr>
                <w:rFonts w:cstheme="minorHAnsi"/>
                <w:sz w:val="20"/>
                <w:szCs w:val="20"/>
              </w:rPr>
              <w:t>RR of 106.5% derived using weighted RRs of each utility. This results in savings estimate of 13.2 MCF based on 2015-16 reported savings</w:t>
            </w:r>
            <w:r>
              <w:rPr>
                <w:rStyle w:val="FootnoteReference"/>
                <w:rFonts w:cstheme="minorHAnsi"/>
                <w:sz w:val="20"/>
                <w:szCs w:val="20"/>
              </w:rPr>
              <w:footnoteReference w:id="2"/>
            </w:r>
          </w:p>
        </w:tc>
        <w:tc>
          <w:tcPr>
            <w:tcW w:w="1620" w:type="dxa"/>
          </w:tcPr>
          <w:p w14:paraId="73A36AC5" w14:textId="77777777" w:rsidR="00862062" w:rsidRPr="00BF6F10" w:rsidRDefault="00862062" w:rsidP="00650EAB">
            <w:pPr>
              <w:rPr>
                <w:rFonts w:cstheme="minorHAnsi"/>
                <w:sz w:val="20"/>
                <w:szCs w:val="20"/>
              </w:rPr>
            </w:pPr>
            <w:r>
              <w:rPr>
                <w:rFonts w:cstheme="minorHAnsi"/>
                <w:sz w:val="20"/>
                <w:szCs w:val="20"/>
              </w:rPr>
              <w:t>17.4 MCF</w:t>
            </w:r>
            <w:r>
              <w:rPr>
                <w:rStyle w:val="FootnoteReference"/>
                <w:rFonts w:cstheme="minorHAnsi"/>
                <w:sz w:val="20"/>
                <w:szCs w:val="20"/>
              </w:rPr>
              <w:footnoteReference w:id="3"/>
            </w:r>
            <w:r>
              <w:rPr>
                <w:rFonts w:cstheme="minorHAnsi"/>
                <w:sz w:val="20"/>
                <w:szCs w:val="20"/>
              </w:rPr>
              <w:t xml:space="preserve"> (midpoint); implies RR=140% for 12.4 MCF reported savings. Recompute with 2020 savings assumption.  Maintain utility-specific values.</w:t>
            </w:r>
          </w:p>
        </w:tc>
        <w:tc>
          <w:tcPr>
            <w:tcW w:w="1890" w:type="dxa"/>
          </w:tcPr>
          <w:p w14:paraId="5F440EBC" w14:textId="2CEB5558" w:rsidR="00862062" w:rsidRPr="00BF6F10" w:rsidRDefault="00317DCB" w:rsidP="00650EAB">
            <w:pPr>
              <w:rPr>
                <w:rFonts w:cstheme="minorHAnsi"/>
                <w:sz w:val="20"/>
                <w:szCs w:val="20"/>
              </w:rPr>
            </w:pPr>
            <w:r>
              <w:rPr>
                <w:rFonts w:cstheme="minorHAnsi"/>
                <w:sz w:val="20"/>
                <w:szCs w:val="20"/>
              </w:rPr>
              <w:t xml:space="preserve">Some concession in values / consider leveraging from </w:t>
            </w:r>
            <w:proofErr w:type="spellStart"/>
            <w:r>
              <w:rPr>
                <w:rFonts w:cstheme="minorHAnsi"/>
                <w:sz w:val="20"/>
                <w:szCs w:val="20"/>
              </w:rPr>
              <w:t>evalulated</w:t>
            </w:r>
            <w:proofErr w:type="spellEnd"/>
            <w:r>
              <w:rPr>
                <w:rFonts w:cstheme="minorHAnsi"/>
                <w:sz w:val="20"/>
                <w:szCs w:val="20"/>
              </w:rPr>
              <w:t xml:space="preserve"> savings, avoiding RRs. </w:t>
            </w:r>
            <w:r w:rsidR="00862062">
              <w:rPr>
                <w:rFonts w:cstheme="minorHAnsi"/>
                <w:sz w:val="20"/>
                <w:szCs w:val="20"/>
              </w:rPr>
              <w:t xml:space="preserve">Recommend 17.4 MCF savings (midpoint) to reflect positive program changes in programs.  </w:t>
            </w:r>
          </w:p>
        </w:tc>
        <w:tc>
          <w:tcPr>
            <w:tcW w:w="2700" w:type="dxa"/>
          </w:tcPr>
          <w:p w14:paraId="60DF78F9" w14:textId="313FFD09" w:rsidR="00862062" w:rsidRDefault="00862062" w:rsidP="00650EAB">
            <w:pPr>
              <w:rPr>
                <w:sz w:val="20"/>
                <w:szCs w:val="20"/>
              </w:rPr>
            </w:pPr>
            <w:r>
              <w:rPr>
                <w:rFonts w:cstheme="minorHAnsi"/>
                <w:sz w:val="20"/>
                <w:szCs w:val="20"/>
              </w:rPr>
              <w:t xml:space="preserve">2019 gross savings per home were 15.6 MCF as of December 6. </w:t>
            </w:r>
          </w:p>
          <w:p w14:paraId="2FBA5FBD" w14:textId="041BC552" w:rsidR="00862062" w:rsidRDefault="00862062" w:rsidP="00650EAB">
            <w:pPr>
              <w:rPr>
                <w:sz w:val="20"/>
                <w:szCs w:val="20"/>
              </w:rPr>
            </w:pPr>
            <w:r>
              <w:rPr>
                <w:sz w:val="20"/>
                <w:szCs w:val="20"/>
              </w:rPr>
              <w:t>To get 17.4 MCF implies a RR of 112%.</w:t>
            </w:r>
          </w:p>
          <w:p w14:paraId="386D8CD8" w14:textId="5DC0FAD5" w:rsidR="00617873" w:rsidRDefault="00617873" w:rsidP="00650EAB">
            <w:pPr>
              <w:rPr>
                <w:sz w:val="20"/>
                <w:szCs w:val="20"/>
              </w:rPr>
            </w:pPr>
          </w:p>
          <w:p w14:paraId="4F639857" w14:textId="26D27060" w:rsidR="00617873" w:rsidRDefault="00617873" w:rsidP="00650EAB">
            <w:pPr>
              <w:rPr>
                <w:sz w:val="20"/>
                <w:szCs w:val="20"/>
              </w:rPr>
            </w:pPr>
            <w:r>
              <w:rPr>
                <w:sz w:val="20"/>
                <w:szCs w:val="20"/>
              </w:rPr>
              <w:t xml:space="preserve">For HES, </w:t>
            </w:r>
            <w:r w:rsidR="003F7158">
              <w:rPr>
                <w:sz w:val="20"/>
                <w:szCs w:val="20"/>
              </w:rPr>
              <w:t xml:space="preserve">using company gas split and implied values, </w:t>
            </w:r>
            <w:r>
              <w:rPr>
                <w:sz w:val="20"/>
                <w:szCs w:val="20"/>
              </w:rPr>
              <w:t>a consolidated RR would be .33*112%</w:t>
            </w:r>
            <w:r w:rsidR="0050765A">
              <w:rPr>
                <w:sz w:val="20"/>
                <w:szCs w:val="20"/>
              </w:rPr>
              <w:t xml:space="preserve"> </w:t>
            </w:r>
            <w:r>
              <w:rPr>
                <w:sz w:val="20"/>
                <w:szCs w:val="20"/>
              </w:rPr>
              <w:t>+</w:t>
            </w:r>
            <w:r w:rsidR="0050765A">
              <w:rPr>
                <w:sz w:val="20"/>
                <w:szCs w:val="20"/>
              </w:rPr>
              <w:t xml:space="preserve"> </w:t>
            </w:r>
            <w:r>
              <w:rPr>
                <w:sz w:val="20"/>
                <w:szCs w:val="20"/>
              </w:rPr>
              <w:t>.67*126%</w:t>
            </w:r>
            <w:r w:rsidR="0050765A">
              <w:rPr>
                <w:sz w:val="20"/>
                <w:szCs w:val="20"/>
              </w:rPr>
              <w:t xml:space="preserve"> </w:t>
            </w:r>
            <w:r>
              <w:rPr>
                <w:sz w:val="20"/>
                <w:szCs w:val="20"/>
              </w:rPr>
              <w:t>=</w:t>
            </w:r>
            <w:r w:rsidR="0050765A">
              <w:rPr>
                <w:sz w:val="20"/>
                <w:szCs w:val="20"/>
              </w:rPr>
              <w:t xml:space="preserve"> </w:t>
            </w:r>
            <w:r>
              <w:rPr>
                <w:sz w:val="20"/>
                <w:szCs w:val="20"/>
              </w:rPr>
              <w:t>121%</w:t>
            </w:r>
          </w:p>
          <w:p w14:paraId="50F63636" w14:textId="53D50F57" w:rsidR="00862062" w:rsidRPr="00113F0C" w:rsidRDefault="00862062" w:rsidP="00650EAB">
            <w:pPr>
              <w:rPr>
                <w:rFonts w:cstheme="minorHAnsi"/>
                <w:sz w:val="20"/>
                <w:szCs w:val="20"/>
              </w:rPr>
            </w:pPr>
          </w:p>
        </w:tc>
        <w:tc>
          <w:tcPr>
            <w:tcW w:w="1890" w:type="dxa"/>
          </w:tcPr>
          <w:p w14:paraId="315A0C42" w14:textId="33DCC4DF" w:rsidR="00862062" w:rsidRDefault="00317DCB" w:rsidP="00650EAB">
            <w:pPr>
              <w:rPr>
                <w:rFonts w:cstheme="minorHAnsi"/>
                <w:sz w:val="20"/>
                <w:szCs w:val="20"/>
              </w:rPr>
            </w:pPr>
            <w:r>
              <w:rPr>
                <w:rFonts w:cstheme="minorHAnsi"/>
                <w:sz w:val="20"/>
                <w:szCs w:val="20"/>
              </w:rPr>
              <w:t>EA Team agrees with this savings / realization rate treatment and value.</w:t>
            </w:r>
            <w:r w:rsidR="00617873">
              <w:rPr>
                <w:rFonts w:cstheme="minorHAnsi"/>
                <w:sz w:val="20"/>
                <w:szCs w:val="20"/>
              </w:rPr>
              <w:t xml:space="preserve">  EA Team is satisfied with HES program-wide blended RR.</w:t>
            </w:r>
          </w:p>
        </w:tc>
        <w:tc>
          <w:tcPr>
            <w:tcW w:w="1800" w:type="dxa"/>
          </w:tcPr>
          <w:p w14:paraId="108A8F62" w14:textId="5D3AEFBA" w:rsidR="00862062" w:rsidRPr="00BF6F10" w:rsidRDefault="00617873" w:rsidP="00650EAB">
            <w:pPr>
              <w:rPr>
                <w:rFonts w:cstheme="minorHAnsi"/>
                <w:sz w:val="20"/>
                <w:szCs w:val="20"/>
              </w:rPr>
            </w:pPr>
            <w:r>
              <w:rPr>
                <w:rFonts w:cstheme="minorHAnsi"/>
                <w:sz w:val="20"/>
                <w:szCs w:val="20"/>
              </w:rPr>
              <w:t>R</w:t>
            </w:r>
            <w:r w:rsidR="003E0C4B">
              <w:rPr>
                <w:rFonts w:cstheme="minorHAnsi"/>
                <w:sz w:val="20"/>
                <w:szCs w:val="20"/>
              </w:rPr>
              <w:t>esolved</w:t>
            </w:r>
            <w:r>
              <w:rPr>
                <w:rFonts w:cstheme="minorHAnsi"/>
                <w:sz w:val="20"/>
                <w:szCs w:val="20"/>
              </w:rPr>
              <w:t xml:space="preserve"> / Agreed</w:t>
            </w:r>
            <w:r w:rsidR="003E0C4B">
              <w:rPr>
                <w:rFonts w:cstheme="minorHAnsi"/>
                <w:sz w:val="20"/>
                <w:szCs w:val="20"/>
              </w:rPr>
              <w:t xml:space="preserve">. </w:t>
            </w:r>
            <w:r>
              <w:rPr>
                <w:rFonts w:cstheme="minorHAnsi"/>
                <w:sz w:val="20"/>
                <w:szCs w:val="20"/>
              </w:rPr>
              <w:t xml:space="preserve">Utilities agree to compromise savings value </w:t>
            </w:r>
            <w:r w:rsidR="003F7158">
              <w:rPr>
                <w:rFonts w:cstheme="minorHAnsi"/>
                <w:sz w:val="20"/>
                <w:szCs w:val="20"/>
              </w:rPr>
              <w:t xml:space="preserve">and implied RR </w:t>
            </w:r>
            <w:r>
              <w:rPr>
                <w:rFonts w:cstheme="minorHAnsi"/>
                <w:sz w:val="20"/>
                <w:szCs w:val="20"/>
              </w:rPr>
              <w:t xml:space="preserve">provided by EA Team.  EA Team satisfied with </w:t>
            </w:r>
            <w:r w:rsidR="003F7158">
              <w:rPr>
                <w:rFonts w:cstheme="minorHAnsi"/>
                <w:sz w:val="20"/>
                <w:szCs w:val="20"/>
              </w:rPr>
              <w:t>use of program-wide values; one for HES and one for HES-IE.</w:t>
            </w:r>
          </w:p>
        </w:tc>
      </w:tr>
      <w:tr w:rsidR="00862062" w:rsidRPr="00393971" w14:paraId="7BEC00C7" w14:textId="77777777" w:rsidTr="0050765A">
        <w:tc>
          <w:tcPr>
            <w:tcW w:w="1116" w:type="dxa"/>
            <w:shd w:val="clear" w:color="auto" w:fill="DEEAF6" w:themeFill="accent5" w:themeFillTint="33"/>
          </w:tcPr>
          <w:p w14:paraId="4065096A" w14:textId="4F8FA76A" w:rsidR="00862062" w:rsidRDefault="00862062" w:rsidP="00650EAB">
            <w:pPr>
              <w:rPr>
                <w:rFonts w:cstheme="minorHAnsi"/>
                <w:sz w:val="20"/>
                <w:szCs w:val="20"/>
              </w:rPr>
            </w:pPr>
            <w:r>
              <w:rPr>
                <w:rFonts w:cstheme="minorHAnsi"/>
                <w:sz w:val="20"/>
                <w:szCs w:val="20"/>
              </w:rPr>
              <w:t xml:space="preserve">7. Gas Savings Insulation – HES -UI </w:t>
            </w:r>
          </w:p>
        </w:tc>
        <w:tc>
          <w:tcPr>
            <w:tcW w:w="1489" w:type="dxa"/>
          </w:tcPr>
          <w:p w14:paraId="7F26F953" w14:textId="551675F5" w:rsidR="00862062" w:rsidRDefault="00862062" w:rsidP="00650EAB">
            <w:pPr>
              <w:rPr>
                <w:rFonts w:cstheme="minorHAnsi"/>
                <w:sz w:val="20"/>
                <w:szCs w:val="20"/>
              </w:rPr>
            </w:pPr>
            <w:r>
              <w:rPr>
                <w:rFonts w:cstheme="minorHAnsi"/>
                <w:sz w:val="20"/>
                <w:szCs w:val="20"/>
              </w:rPr>
              <w:t>15.4 MCF; results in 95% RR based on Utility reported savings of 16.1 MCF</w:t>
            </w:r>
          </w:p>
        </w:tc>
        <w:tc>
          <w:tcPr>
            <w:tcW w:w="1530" w:type="dxa"/>
          </w:tcPr>
          <w:p w14:paraId="1537F2D8" w14:textId="79EC2D3C" w:rsidR="00862062" w:rsidRDefault="00862062" w:rsidP="00650EAB">
            <w:pPr>
              <w:rPr>
                <w:rFonts w:cstheme="minorHAnsi"/>
                <w:sz w:val="20"/>
                <w:szCs w:val="20"/>
              </w:rPr>
            </w:pPr>
            <w:r>
              <w:rPr>
                <w:rFonts w:cstheme="minorHAnsi"/>
                <w:sz w:val="20"/>
                <w:szCs w:val="20"/>
              </w:rPr>
              <w:t>RR of 106.5% derived using weighted RRs of each utility. This results in savings estimate of 17.1 MCF based on 2015-16 reported savings</w:t>
            </w:r>
            <w:r w:rsidRPr="00AC135A">
              <w:rPr>
                <w:rFonts w:cstheme="minorHAnsi"/>
                <w:sz w:val="20"/>
                <w:szCs w:val="20"/>
                <w:vertAlign w:val="superscript"/>
              </w:rPr>
              <w:t>2</w:t>
            </w:r>
          </w:p>
        </w:tc>
        <w:tc>
          <w:tcPr>
            <w:tcW w:w="1620" w:type="dxa"/>
          </w:tcPr>
          <w:p w14:paraId="1E6C0E87" w14:textId="59B819C9" w:rsidR="00862062" w:rsidRDefault="00862062" w:rsidP="00650EAB">
            <w:pPr>
              <w:rPr>
                <w:rFonts w:cstheme="minorHAnsi"/>
                <w:sz w:val="20"/>
                <w:szCs w:val="20"/>
              </w:rPr>
            </w:pPr>
            <w:r>
              <w:rPr>
                <w:rFonts w:cstheme="minorHAnsi"/>
                <w:sz w:val="20"/>
                <w:szCs w:val="20"/>
              </w:rPr>
              <w:t>17.4 MCF (midpoint); implies RR=108% for 16.1 MCF reported savings. Recompute with 2020 savings assumption. Maintain utility-specific values.</w:t>
            </w:r>
          </w:p>
        </w:tc>
        <w:tc>
          <w:tcPr>
            <w:tcW w:w="1890" w:type="dxa"/>
          </w:tcPr>
          <w:p w14:paraId="32762484" w14:textId="0A6431D7" w:rsidR="00862062" w:rsidRDefault="00317DCB" w:rsidP="00650EAB">
            <w:pPr>
              <w:rPr>
                <w:rFonts w:cstheme="minorHAnsi"/>
                <w:sz w:val="20"/>
                <w:szCs w:val="20"/>
              </w:rPr>
            </w:pPr>
            <w:r>
              <w:rPr>
                <w:rFonts w:cstheme="minorHAnsi"/>
                <w:sz w:val="20"/>
                <w:szCs w:val="20"/>
              </w:rPr>
              <w:t>Same principle as above.</w:t>
            </w:r>
            <w:r w:rsidR="00862062">
              <w:rPr>
                <w:rFonts w:cstheme="minorHAnsi"/>
                <w:sz w:val="20"/>
                <w:szCs w:val="20"/>
              </w:rPr>
              <w:t xml:space="preserve"> </w:t>
            </w:r>
          </w:p>
        </w:tc>
        <w:tc>
          <w:tcPr>
            <w:tcW w:w="2700" w:type="dxa"/>
          </w:tcPr>
          <w:p w14:paraId="5ECBE6AC" w14:textId="3DF29F5E" w:rsidR="00862062" w:rsidRDefault="00862062" w:rsidP="00650EAB">
            <w:pPr>
              <w:rPr>
                <w:sz w:val="20"/>
                <w:szCs w:val="20"/>
              </w:rPr>
            </w:pPr>
            <w:r>
              <w:rPr>
                <w:rFonts w:cstheme="minorHAnsi"/>
                <w:sz w:val="20"/>
                <w:szCs w:val="20"/>
              </w:rPr>
              <w:t xml:space="preserve">2019 gross savings per home were 13.8 MCF. </w:t>
            </w:r>
          </w:p>
          <w:p w14:paraId="17A4BB5F" w14:textId="77777777" w:rsidR="00862062" w:rsidRDefault="00862062" w:rsidP="00650EAB">
            <w:pPr>
              <w:rPr>
                <w:sz w:val="20"/>
                <w:szCs w:val="20"/>
              </w:rPr>
            </w:pPr>
            <w:r>
              <w:rPr>
                <w:sz w:val="20"/>
                <w:szCs w:val="20"/>
              </w:rPr>
              <w:t>To get 17.4 MCF implies a RR of 126%.</w:t>
            </w:r>
          </w:p>
          <w:p w14:paraId="27E3D5B0" w14:textId="77777777" w:rsidR="00617873" w:rsidRDefault="00617873" w:rsidP="00650EAB">
            <w:pPr>
              <w:rPr>
                <w:sz w:val="20"/>
                <w:szCs w:val="20"/>
              </w:rPr>
            </w:pPr>
          </w:p>
          <w:p w14:paraId="6A897875" w14:textId="59F4FE73" w:rsidR="00617873" w:rsidRDefault="00617873" w:rsidP="00617873">
            <w:pPr>
              <w:rPr>
                <w:sz w:val="20"/>
                <w:szCs w:val="20"/>
              </w:rPr>
            </w:pPr>
            <w:r>
              <w:rPr>
                <w:sz w:val="20"/>
                <w:szCs w:val="20"/>
              </w:rPr>
              <w:t>For HES, a consolidated RR would be .33*112%</w:t>
            </w:r>
            <w:r w:rsidR="0050765A">
              <w:rPr>
                <w:sz w:val="20"/>
                <w:szCs w:val="20"/>
              </w:rPr>
              <w:t xml:space="preserve"> </w:t>
            </w:r>
            <w:r>
              <w:rPr>
                <w:sz w:val="20"/>
                <w:szCs w:val="20"/>
              </w:rPr>
              <w:t>+</w:t>
            </w:r>
            <w:r w:rsidR="0050765A">
              <w:rPr>
                <w:sz w:val="20"/>
                <w:szCs w:val="20"/>
              </w:rPr>
              <w:t xml:space="preserve"> </w:t>
            </w:r>
            <w:r>
              <w:rPr>
                <w:sz w:val="20"/>
                <w:szCs w:val="20"/>
              </w:rPr>
              <w:t>.67*126%</w:t>
            </w:r>
            <w:r w:rsidR="0050765A">
              <w:rPr>
                <w:sz w:val="20"/>
                <w:szCs w:val="20"/>
              </w:rPr>
              <w:t xml:space="preserve"> </w:t>
            </w:r>
            <w:r>
              <w:rPr>
                <w:sz w:val="20"/>
                <w:szCs w:val="20"/>
              </w:rPr>
              <w:t>=</w:t>
            </w:r>
            <w:r w:rsidR="0050765A">
              <w:rPr>
                <w:sz w:val="20"/>
                <w:szCs w:val="20"/>
              </w:rPr>
              <w:t xml:space="preserve"> </w:t>
            </w:r>
            <w:r>
              <w:rPr>
                <w:sz w:val="20"/>
                <w:szCs w:val="20"/>
              </w:rPr>
              <w:t>121%</w:t>
            </w:r>
          </w:p>
          <w:p w14:paraId="79639CC3" w14:textId="25B4E5E2" w:rsidR="00617873" w:rsidRPr="00393971" w:rsidRDefault="00617873" w:rsidP="00650EAB">
            <w:pPr>
              <w:rPr>
                <w:rFonts w:cstheme="minorHAnsi"/>
                <w:sz w:val="20"/>
                <w:szCs w:val="20"/>
              </w:rPr>
            </w:pPr>
          </w:p>
        </w:tc>
        <w:tc>
          <w:tcPr>
            <w:tcW w:w="1890" w:type="dxa"/>
          </w:tcPr>
          <w:p w14:paraId="7DAAFF85" w14:textId="0FB5CE19" w:rsidR="00862062" w:rsidRDefault="00317DCB" w:rsidP="00650EAB">
            <w:pPr>
              <w:rPr>
                <w:rFonts w:cstheme="minorHAnsi"/>
                <w:sz w:val="20"/>
                <w:szCs w:val="20"/>
              </w:rPr>
            </w:pPr>
            <w:r>
              <w:rPr>
                <w:rFonts w:cstheme="minorHAnsi"/>
                <w:sz w:val="20"/>
                <w:szCs w:val="20"/>
              </w:rPr>
              <w:t>EA Team agrees with this savings / realization rate treatment and value.</w:t>
            </w:r>
            <w:r w:rsidR="00617873">
              <w:rPr>
                <w:rFonts w:cstheme="minorHAnsi"/>
                <w:sz w:val="20"/>
                <w:szCs w:val="20"/>
              </w:rPr>
              <w:t xml:space="preserve">  EA Team is satisfied with HES program-wide blended RR.</w:t>
            </w:r>
          </w:p>
        </w:tc>
        <w:tc>
          <w:tcPr>
            <w:tcW w:w="1800" w:type="dxa"/>
          </w:tcPr>
          <w:p w14:paraId="7D81E99C" w14:textId="56EC068B" w:rsidR="00C63465" w:rsidRDefault="00C63465" w:rsidP="00C63465">
            <w:pPr>
              <w:rPr>
                <w:rFonts w:cstheme="minorHAnsi"/>
                <w:sz w:val="20"/>
                <w:szCs w:val="20"/>
              </w:rPr>
            </w:pPr>
            <w:r>
              <w:rPr>
                <w:rFonts w:cstheme="minorHAnsi"/>
                <w:sz w:val="20"/>
                <w:szCs w:val="20"/>
              </w:rPr>
              <w:t>R</w:t>
            </w:r>
            <w:r>
              <w:rPr>
                <w:rFonts w:cstheme="minorHAnsi"/>
                <w:sz w:val="20"/>
                <w:szCs w:val="20"/>
              </w:rPr>
              <w:t>esolved / Agreed. Utilities agree to compromise savings value and implied RR provided by EA Team.  EA Team satisfied with use of program-wide values; one for HES and one for HES-IE.</w:t>
            </w:r>
          </w:p>
        </w:tc>
      </w:tr>
      <w:tr w:rsidR="00862062" w:rsidRPr="00393971" w14:paraId="0D1A2B18" w14:textId="77777777" w:rsidTr="0050765A">
        <w:tc>
          <w:tcPr>
            <w:tcW w:w="1116" w:type="dxa"/>
            <w:shd w:val="clear" w:color="auto" w:fill="DEEAF6" w:themeFill="accent5" w:themeFillTint="33"/>
          </w:tcPr>
          <w:p w14:paraId="1E4C4A78" w14:textId="19E84619" w:rsidR="00862062" w:rsidRDefault="00862062" w:rsidP="00650EAB">
            <w:pPr>
              <w:rPr>
                <w:rFonts w:cstheme="minorHAnsi"/>
                <w:sz w:val="20"/>
                <w:szCs w:val="20"/>
              </w:rPr>
            </w:pPr>
            <w:r>
              <w:rPr>
                <w:rFonts w:cstheme="minorHAnsi"/>
                <w:sz w:val="20"/>
                <w:szCs w:val="20"/>
              </w:rPr>
              <w:lastRenderedPageBreak/>
              <w:t xml:space="preserve">8. Gas Savings Insulation – HES-IE- Eversource </w:t>
            </w:r>
          </w:p>
        </w:tc>
        <w:tc>
          <w:tcPr>
            <w:tcW w:w="1489" w:type="dxa"/>
          </w:tcPr>
          <w:p w14:paraId="6FD1B076" w14:textId="7ED5EB92" w:rsidR="00862062" w:rsidRDefault="00862062" w:rsidP="00650EAB">
            <w:pPr>
              <w:rPr>
                <w:rFonts w:cstheme="minorHAnsi"/>
                <w:sz w:val="20"/>
                <w:szCs w:val="20"/>
              </w:rPr>
            </w:pPr>
            <w:r>
              <w:rPr>
                <w:rFonts w:cstheme="minorHAnsi"/>
                <w:sz w:val="20"/>
                <w:szCs w:val="20"/>
              </w:rPr>
              <w:t>15.8 MCF; results in 53% RR based on Utility reported savings of 29.6 MCF</w:t>
            </w:r>
          </w:p>
        </w:tc>
        <w:tc>
          <w:tcPr>
            <w:tcW w:w="1530" w:type="dxa"/>
          </w:tcPr>
          <w:p w14:paraId="5A6B9B06" w14:textId="6FBB2C9C" w:rsidR="00862062" w:rsidRDefault="00862062" w:rsidP="00650EAB">
            <w:pPr>
              <w:rPr>
                <w:rFonts w:cstheme="minorHAnsi"/>
                <w:sz w:val="20"/>
                <w:szCs w:val="20"/>
              </w:rPr>
            </w:pPr>
            <w:r>
              <w:rPr>
                <w:rFonts w:cstheme="minorHAnsi"/>
                <w:sz w:val="20"/>
                <w:szCs w:val="20"/>
              </w:rPr>
              <w:t>RR of 106.5% derived using weighted RRs of HES RR (not HES-IE) of each utility. This results in savings estimate of 31.5 MCF based on 2015-16 reported savings</w:t>
            </w:r>
            <w:r w:rsidRPr="007B2B6C">
              <w:rPr>
                <w:rFonts w:cstheme="minorHAnsi"/>
                <w:sz w:val="20"/>
                <w:szCs w:val="20"/>
                <w:vertAlign w:val="superscript"/>
              </w:rPr>
              <w:t>2</w:t>
            </w:r>
          </w:p>
        </w:tc>
        <w:tc>
          <w:tcPr>
            <w:tcW w:w="1620" w:type="dxa"/>
          </w:tcPr>
          <w:p w14:paraId="6D270E44" w14:textId="7AAB3E26" w:rsidR="00862062" w:rsidRDefault="00862062" w:rsidP="00650EAB">
            <w:pPr>
              <w:rPr>
                <w:rFonts w:cstheme="minorHAnsi"/>
                <w:sz w:val="20"/>
                <w:szCs w:val="20"/>
              </w:rPr>
            </w:pPr>
            <w:r>
              <w:rPr>
                <w:rFonts w:cstheme="minorHAnsi"/>
                <w:sz w:val="20"/>
                <w:szCs w:val="20"/>
              </w:rPr>
              <w:t>17.4 MCF; (midpoint) implies RR=59% for 29.6 MCF reported savings assumption. Recompute with 2020 savings. Maintain utility-specific values.</w:t>
            </w:r>
          </w:p>
        </w:tc>
        <w:tc>
          <w:tcPr>
            <w:tcW w:w="1890" w:type="dxa"/>
          </w:tcPr>
          <w:p w14:paraId="0E5B45C9" w14:textId="37C3DA03" w:rsidR="00862062" w:rsidRDefault="00317DCB" w:rsidP="00650EAB">
            <w:pPr>
              <w:rPr>
                <w:rFonts w:cstheme="minorHAnsi"/>
                <w:sz w:val="20"/>
                <w:szCs w:val="20"/>
              </w:rPr>
            </w:pPr>
            <w:r>
              <w:rPr>
                <w:rFonts w:cstheme="minorHAnsi"/>
                <w:sz w:val="20"/>
                <w:szCs w:val="20"/>
              </w:rPr>
              <w:t>Same principle as above</w:t>
            </w:r>
            <w:r w:rsidR="00862062">
              <w:rPr>
                <w:rFonts w:cstheme="minorHAnsi"/>
                <w:sz w:val="20"/>
                <w:szCs w:val="20"/>
              </w:rPr>
              <w:t xml:space="preserve"> </w:t>
            </w:r>
          </w:p>
        </w:tc>
        <w:tc>
          <w:tcPr>
            <w:tcW w:w="2700" w:type="dxa"/>
          </w:tcPr>
          <w:p w14:paraId="0EAAACF7" w14:textId="61BA2CC3" w:rsidR="00862062" w:rsidRDefault="00862062" w:rsidP="00650EAB">
            <w:pPr>
              <w:rPr>
                <w:sz w:val="20"/>
                <w:szCs w:val="20"/>
              </w:rPr>
            </w:pPr>
            <w:r>
              <w:rPr>
                <w:rFonts w:cstheme="minorHAnsi"/>
                <w:sz w:val="20"/>
                <w:szCs w:val="20"/>
              </w:rPr>
              <w:t>2019 gross savings per home were 19.4 MCF as of December 6.</w:t>
            </w:r>
          </w:p>
          <w:p w14:paraId="26A38C33" w14:textId="77777777" w:rsidR="00862062" w:rsidRDefault="00862062" w:rsidP="00650EAB">
            <w:pPr>
              <w:rPr>
                <w:sz w:val="20"/>
                <w:szCs w:val="20"/>
              </w:rPr>
            </w:pPr>
            <w:r>
              <w:rPr>
                <w:sz w:val="20"/>
                <w:szCs w:val="20"/>
              </w:rPr>
              <w:t>To get 17.4 MCF implies a RR of 90%.</w:t>
            </w:r>
          </w:p>
          <w:p w14:paraId="00906D2B" w14:textId="77777777" w:rsidR="00617873" w:rsidRDefault="00617873" w:rsidP="00650EAB">
            <w:pPr>
              <w:rPr>
                <w:sz w:val="20"/>
                <w:szCs w:val="20"/>
              </w:rPr>
            </w:pPr>
          </w:p>
          <w:p w14:paraId="5E90E5E4" w14:textId="7E876202" w:rsidR="00617873" w:rsidRPr="00393971" w:rsidRDefault="00617873" w:rsidP="00650EAB">
            <w:pPr>
              <w:rPr>
                <w:rFonts w:cstheme="minorHAnsi"/>
                <w:sz w:val="20"/>
                <w:szCs w:val="20"/>
              </w:rPr>
            </w:pPr>
            <w:r>
              <w:rPr>
                <w:sz w:val="20"/>
                <w:szCs w:val="20"/>
              </w:rPr>
              <w:t>For HES-IE, a consolidated RR would be .33*90%</w:t>
            </w:r>
            <w:r w:rsidR="0050765A">
              <w:rPr>
                <w:sz w:val="20"/>
                <w:szCs w:val="20"/>
              </w:rPr>
              <w:t xml:space="preserve"> </w:t>
            </w:r>
            <w:r>
              <w:rPr>
                <w:sz w:val="20"/>
                <w:szCs w:val="20"/>
              </w:rPr>
              <w:t>+</w:t>
            </w:r>
            <w:r w:rsidR="0050765A">
              <w:rPr>
                <w:sz w:val="20"/>
                <w:szCs w:val="20"/>
              </w:rPr>
              <w:t xml:space="preserve"> </w:t>
            </w:r>
            <w:r>
              <w:rPr>
                <w:sz w:val="20"/>
                <w:szCs w:val="20"/>
              </w:rPr>
              <w:t>.67*81%</w:t>
            </w:r>
            <w:r w:rsidR="0050765A">
              <w:rPr>
                <w:sz w:val="20"/>
                <w:szCs w:val="20"/>
              </w:rPr>
              <w:t xml:space="preserve"> </w:t>
            </w:r>
            <w:r>
              <w:rPr>
                <w:sz w:val="20"/>
                <w:szCs w:val="20"/>
              </w:rPr>
              <w:t>=</w:t>
            </w:r>
            <w:r w:rsidR="0050765A">
              <w:rPr>
                <w:sz w:val="20"/>
                <w:szCs w:val="20"/>
              </w:rPr>
              <w:t xml:space="preserve"> </w:t>
            </w:r>
            <w:r>
              <w:rPr>
                <w:sz w:val="20"/>
                <w:szCs w:val="20"/>
              </w:rPr>
              <w:t>84%</w:t>
            </w:r>
          </w:p>
        </w:tc>
        <w:tc>
          <w:tcPr>
            <w:tcW w:w="1890" w:type="dxa"/>
          </w:tcPr>
          <w:p w14:paraId="05CAB7A7" w14:textId="7B6C0AA8" w:rsidR="00862062" w:rsidRDefault="00317DCB" w:rsidP="00650EAB">
            <w:pPr>
              <w:rPr>
                <w:rFonts w:cstheme="minorHAnsi"/>
                <w:sz w:val="20"/>
                <w:szCs w:val="20"/>
              </w:rPr>
            </w:pPr>
            <w:r>
              <w:rPr>
                <w:rFonts w:cstheme="minorHAnsi"/>
                <w:sz w:val="20"/>
                <w:szCs w:val="20"/>
              </w:rPr>
              <w:t>EA Team agrees with this savings / realization rate treatment and value.</w:t>
            </w:r>
            <w:r w:rsidR="00617873">
              <w:rPr>
                <w:rFonts w:cstheme="minorHAnsi"/>
                <w:sz w:val="20"/>
                <w:szCs w:val="20"/>
              </w:rPr>
              <w:t xml:space="preserve">  EA Team is satisfied with HES -IE program-wide blended RR.</w:t>
            </w:r>
          </w:p>
        </w:tc>
        <w:tc>
          <w:tcPr>
            <w:tcW w:w="1800" w:type="dxa"/>
          </w:tcPr>
          <w:p w14:paraId="681CCAD1" w14:textId="6F8F84EC" w:rsidR="00862062" w:rsidRDefault="00862062" w:rsidP="00650EAB">
            <w:pPr>
              <w:rPr>
                <w:rFonts w:cstheme="minorHAnsi"/>
                <w:sz w:val="20"/>
                <w:szCs w:val="20"/>
              </w:rPr>
            </w:pPr>
          </w:p>
          <w:p w14:paraId="77D04CAB" w14:textId="339DA944" w:rsidR="00C63465" w:rsidRDefault="00C63465" w:rsidP="00650EAB">
            <w:pPr>
              <w:rPr>
                <w:rFonts w:cstheme="minorHAnsi"/>
                <w:sz w:val="20"/>
                <w:szCs w:val="20"/>
              </w:rPr>
            </w:pPr>
            <w:r>
              <w:rPr>
                <w:rFonts w:cstheme="minorHAnsi"/>
                <w:sz w:val="20"/>
                <w:szCs w:val="20"/>
              </w:rPr>
              <w:t>Resolved / Agreed. Utilities agree to compromise savings value and implied RR provided by EA Team.  EA Team satisfied with use of program-wide values; one for HES and one for HES-IE.</w:t>
            </w:r>
          </w:p>
        </w:tc>
      </w:tr>
      <w:tr w:rsidR="00862062" w:rsidRPr="00BF6F10" w14:paraId="7BC70A7F" w14:textId="77777777" w:rsidTr="0050765A">
        <w:tc>
          <w:tcPr>
            <w:tcW w:w="1116" w:type="dxa"/>
            <w:shd w:val="clear" w:color="auto" w:fill="DEEAF6" w:themeFill="accent5" w:themeFillTint="33"/>
          </w:tcPr>
          <w:p w14:paraId="204A4921" w14:textId="77777777" w:rsidR="00862062" w:rsidRPr="00BF6F10" w:rsidRDefault="00862062" w:rsidP="00650EAB">
            <w:pPr>
              <w:rPr>
                <w:rFonts w:cstheme="minorHAnsi"/>
                <w:sz w:val="20"/>
                <w:szCs w:val="20"/>
              </w:rPr>
            </w:pPr>
            <w:r>
              <w:rPr>
                <w:rFonts w:cstheme="minorHAnsi"/>
                <w:sz w:val="20"/>
                <w:szCs w:val="20"/>
              </w:rPr>
              <w:t xml:space="preserve">9. Gas Savings Insulation – HES -IE- UI </w:t>
            </w:r>
          </w:p>
        </w:tc>
        <w:tc>
          <w:tcPr>
            <w:tcW w:w="1489" w:type="dxa"/>
          </w:tcPr>
          <w:p w14:paraId="5CE4400B" w14:textId="77777777" w:rsidR="00862062" w:rsidRPr="00BF6F10" w:rsidRDefault="00862062" w:rsidP="00650EAB">
            <w:pPr>
              <w:rPr>
                <w:rFonts w:cstheme="minorHAnsi"/>
                <w:sz w:val="20"/>
                <w:szCs w:val="20"/>
              </w:rPr>
            </w:pPr>
            <w:r>
              <w:rPr>
                <w:rFonts w:cstheme="minorHAnsi"/>
                <w:sz w:val="20"/>
                <w:szCs w:val="20"/>
              </w:rPr>
              <w:t>15.8 MCF; results in 32% RR based on Utility reported savings of 49.6 MCF</w:t>
            </w:r>
          </w:p>
        </w:tc>
        <w:tc>
          <w:tcPr>
            <w:tcW w:w="1530" w:type="dxa"/>
          </w:tcPr>
          <w:p w14:paraId="3B79C3A8" w14:textId="77777777" w:rsidR="00862062" w:rsidRPr="00BF6F10" w:rsidRDefault="00862062" w:rsidP="00650EAB">
            <w:pPr>
              <w:rPr>
                <w:rFonts w:cstheme="minorHAnsi"/>
                <w:sz w:val="20"/>
                <w:szCs w:val="20"/>
              </w:rPr>
            </w:pPr>
            <w:r>
              <w:rPr>
                <w:rFonts w:cstheme="minorHAnsi"/>
                <w:sz w:val="20"/>
                <w:szCs w:val="20"/>
              </w:rPr>
              <w:t>RR of 106.5% derived using weighted RRs of HES RR (not HES-IE) of each utility. This results in savings estimate of 52.8 MCF based on 2015-16 reported savings</w:t>
            </w:r>
            <w:r w:rsidRPr="007B2B6C">
              <w:rPr>
                <w:rFonts w:cstheme="minorHAnsi"/>
                <w:sz w:val="20"/>
                <w:szCs w:val="20"/>
                <w:vertAlign w:val="superscript"/>
              </w:rPr>
              <w:t>2</w:t>
            </w:r>
          </w:p>
        </w:tc>
        <w:tc>
          <w:tcPr>
            <w:tcW w:w="1620" w:type="dxa"/>
          </w:tcPr>
          <w:p w14:paraId="4953DFD1" w14:textId="77777777" w:rsidR="00862062" w:rsidRPr="00BF6F10" w:rsidRDefault="00862062" w:rsidP="00650EAB">
            <w:pPr>
              <w:rPr>
                <w:rFonts w:cstheme="minorHAnsi"/>
                <w:sz w:val="20"/>
                <w:szCs w:val="20"/>
              </w:rPr>
            </w:pPr>
            <w:r>
              <w:rPr>
                <w:rFonts w:cstheme="minorHAnsi"/>
                <w:sz w:val="20"/>
                <w:szCs w:val="20"/>
              </w:rPr>
              <w:t>17.4 MCF (midpoint); implies RR=36% for 48.6 MCF reported savings. Recompute with 2020 savings assumption. Maintain utility-specific values.</w:t>
            </w:r>
          </w:p>
        </w:tc>
        <w:tc>
          <w:tcPr>
            <w:tcW w:w="1890" w:type="dxa"/>
          </w:tcPr>
          <w:p w14:paraId="31BE4253" w14:textId="2DC80325" w:rsidR="00862062" w:rsidRPr="00BF6F10" w:rsidRDefault="00317DCB" w:rsidP="00650EAB">
            <w:pPr>
              <w:rPr>
                <w:rFonts w:cstheme="minorHAnsi"/>
                <w:sz w:val="20"/>
                <w:szCs w:val="20"/>
              </w:rPr>
            </w:pPr>
            <w:r>
              <w:rPr>
                <w:rFonts w:cstheme="minorHAnsi"/>
                <w:sz w:val="20"/>
                <w:szCs w:val="20"/>
              </w:rPr>
              <w:t>Same principle as above.</w:t>
            </w:r>
            <w:r w:rsidR="00862062">
              <w:rPr>
                <w:rFonts w:cstheme="minorHAnsi"/>
                <w:sz w:val="20"/>
                <w:szCs w:val="20"/>
              </w:rPr>
              <w:t xml:space="preserve"> </w:t>
            </w:r>
          </w:p>
        </w:tc>
        <w:tc>
          <w:tcPr>
            <w:tcW w:w="2700" w:type="dxa"/>
          </w:tcPr>
          <w:p w14:paraId="3E9D6041" w14:textId="7C7A8D90" w:rsidR="00862062" w:rsidRDefault="00862062" w:rsidP="00650EAB">
            <w:pPr>
              <w:rPr>
                <w:sz w:val="20"/>
                <w:szCs w:val="20"/>
              </w:rPr>
            </w:pPr>
            <w:r>
              <w:rPr>
                <w:rFonts w:cstheme="minorHAnsi"/>
                <w:sz w:val="20"/>
                <w:szCs w:val="20"/>
              </w:rPr>
              <w:t xml:space="preserve">2019 gross savings per home were </w:t>
            </w:r>
            <w:r>
              <w:rPr>
                <w:sz w:val="20"/>
                <w:szCs w:val="20"/>
              </w:rPr>
              <w:t>21.5 MCF.</w:t>
            </w:r>
          </w:p>
          <w:p w14:paraId="692C1034" w14:textId="77777777" w:rsidR="00862062" w:rsidRPr="0050765A" w:rsidRDefault="00862062" w:rsidP="00650EAB">
            <w:pPr>
              <w:rPr>
                <w:bCs/>
                <w:color w:val="000000" w:themeColor="text1"/>
                <w:sz w:val="20"/>
                <w:szCs w:val="20"/>
              </w:rPr>
            </w:pPr>
            <w:r>
              <w:rPr>
                <w:sz w:val="20"/>
                <w:szCs w:val="20"/>
              </w:rPr>
              <w:t xml:space="preserve">To </w:t>
            </w:r>
            <w:r w:rsidRPr="0050765A">
              <w:rPr>
                <w:color w:val="000000" w:themeColor="text1"/>
                <w:sz w:val="20"/>
                <w:szCs w:val="20"/>
              </w:rPr>
              <w:t xml:space="preserve">get 17.4 MCF implies a RR of </w:t>
            </w:r>
            <w:r w:rsidRPr="0050765A">
              <w:rPr>
                <w:bCs/>
                <w:color w:val="000000" w:themeColor="text1"/>
                <w:sz w:val="20"/>
                <w:szCs w:val="20"/>
              </w:rPr>
              <w:t>81%.</w:t>
            </w:r>
          </w:p>
          <w:p w14:paraId="1148BA75" w14:textId="77777777" w:rsidR="00617873" w:rsidRPr="0050765A" w:rsidRDefault="00617873" w:rsidP="00650EAB">
            <w:pPr>
              <w:rPr>
                <w:bCs/>
                <w:color w:val="000000" w:themeColor="text1"/>
                <w:sz w:val="20"/>
                <w:szCs w:val="20"/>
              </w:rPr>
            </w:pPr>
          </w:p>
          <w:p w14:paraId="6B03251E" w14:textId="51F5EA01" w:rsidR="00617873" w:rsidRPr="00BF6F10" w:rsidRDefault="00617873" w:rsidP="00650EAB">
            <w:pPr>
              <w:rPr>
                <w:rFonts w:cstheme="minorHAnsi"/>
                <w:sz w:val="20"/>
                <w:szCs w:val="20"/>
              </w:rPr>
            </w:pPr>
            <w:r>
              <w:rPr>
                <w:sz w:val="20"/>
                <w:szCs w:val="20"/>
              </w:rPr>
              <w:t>For HES-IE, a consolidated RR would be .33*90%+</w:t>
            </w:r>
            <w:r w:rsidR="0050765A">
              <w:rPr>
                <w:sz w:val="20"/>
                <w:szCs w:val="20"/>
              </w:rPr>
              <w:t xml:space="preserve"> </w:t>
            </w:r>
            <w:r>
              <w:rPr>
                <w:sz w:val="20"/>
                <w:szCs w:val="20"/>
              </w:rPr>
              <w:t>.67*81%</w:t>
            </w:r>
            <w:r w:rsidR="0050765A">
              <w:rPr>
                <w:sz w:val="20"/>
                <w:szCs w:val="20"/>
              </w:rPr>
              <w:t xml:space="preserve"> </w:t>
            </w:r>
            <w:r>
              <w:rPr>
                <w:sz w:val="20"/>
                <w:szCs w:val="20"/>
              </w:rPr>
              <w:t>=</w:t>
            </w:r>
            <w:r w:rsidR="0050765A">
              <w:rPr>
                <w:sz w:val="20"/>
                <w:szCs w:val="20"/>
              </w:rPr>
              <w:t xml:space="preserve"> </w:t>
            </w:r>
            <w:r>
              <w:rPr>
                <w:sz w:val="20"/>
                <w:szCs w:val="20"/>
              </w:rPr>
              <w:t>84%</w:t>
            </w:r>
          </w:p>
        </w:tc>
        <w:tc>
          <w:tcPr>
            <w:tcW w:w="1890" w:type="dxa"/>
          </w:tcPr>
          <w:p w14:paraId="62FDB583" w14:textId="77777777" w:rsidR="00862062" w:rsidRDefault="00317DCB" w:rsidP="00650EAB">
            <w:pPr>
              <w:rPr>
                <w:rFonts w:cstheme="minorHAnsi"/>
                <w:sz w:val="20"/>
                <w:szCs w:val="20"/>
              </w:rPr>
            </w:pPr>
            <w:r>
              <w:rPr>
                <w:rFonts w:cstheme="minorHAnsi"/>
                <w:sz w:val="20"/>
                <w:szCs w:val="20"/>
              </w:rPr>
              <w:t>EA Team agrees with this savings / realization rate treatment and value.</w:t>
            </w:r>
          </w:p>
          <w:p w14:paraId="512BACA7" w14:textId="3A29578E" w:rsidR="00617873" w:rsidRDefault="00617873" w:rsidP="00650EAB">
            <w:pPr>
              <w:rPr>
                <w:rFonts w:cstheme="minorHAnsi"/>
                <w:sz w:val="20"/>
                <w:szCs w:val="20"/>
              </w:rPr>
            </w:pPr>
            <w:r>
              <w:rPr>
                <w:rFonts w:cstheme="minorHAnsi"/>
                <w:sz w:val="20"/>
                <w:szCs w:val="20"/>
              </w:rPr>
              <w:t>EA Team is satisfied with HES -IE program-wide blended RR.</w:t>
            </w:r>
          </w:p>
        </w:tc>
        <w:tc>
          <w:tcPr>
            <w:tcW w:w="1800" w:type="dxa"/>
          </w:tcPr>
          <w:p w14:paraId="72B3EE3A" w14:textId="6D2D7649" w:rsidR="00C63465" w:rsidRPr="00BF6F10" w:rsidRDefault="00C63465" w:rsidP="00650EAB">
            <w:pPr>
              <w:rPr>
                <w:rFonts w:cstheme="minorHAnsi"/>
                <w:sz w:val="20"/>
                <w:szCs w:val="20"/>
              </w:rPr>
            </w:pPr>
            <w:r>
              <w:rPr>
                <w:rFonts w:cstheme="minorHAnsi"/>
                <w:sz w:val="20"/>
                <w:szCs w:val="20"/>
              </w:rPr>
              <w:t>Resolved / Agreed. Utilities agree to compromise savings value and implied RR provided by EA Team.  EA Team satisfied with use of program-wide values; one for HES and one for HES-IE.</w:t>
            </w:r>
          </w:p>
        </w:tc>
      </w:tr>
    </w:tbl>
    <w:p w14:paraId="0DF9475D" w14:textId="5AA6404C" w:rsidR="00B460E2" w:rsidRDefault="00B460E2"/>
    <w:sectPr w:rsidR="00B460E2" w:rsidSect="0050765A">
      <w:footerReference w:type="default" r:id="rId11"/>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FF8CB" w14:textId="77777777" w:rsidR="00C8097A" w:rsidRDefault="00C8097A" w:rsidP="00793FF0">
      <w:pPr>
        <w:spacing w:after="0" w:line="240" w:lineRule="auto"/>
      </w:pPr>
      <w:r>
        <w:separator/>
      </w:r>
    </w:p>
  </w:endnote>
  <w:endnote w:type="continuationSeparator" w:id="0">
    <w:p w14:paraId="1D8C24A1" w14:textId="77777777" w:rsidR="00C8097A" w:rsidRDefault="00C8097A" w:rsidP="0079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578E" w14:textId="1FD8E979" w:rsidR="00BF7F5D" w:rsidRDefault="00C8097A">
    <w:pPr>
      <w:pStyle w:val="Footer"/>
      <w:pBdr>
        <w:top w:val="single" w:sz="4" w:space="1" w:color="D9D9D9" w:themeColor="background1" w:themeShade="D9"/>
      </w:pBdr>
      <w:rPr>
        <w:b/>
        <w:bCs/>
      </w:rPr>
    </w:pPr>
    <w:sdt>
      <w:sdtPr>
        <w:id w:val="1591049044"/>
        <w:docPartObj>
          <w:docPartGallery w:val="Page Numbers (Bottom of Page)"/>
          <w:docPartUnique/>
        </w:docPartObj>
      </w:sdtPr>
      <w:sdtEndPr>
        <w:rPr>
          <w:color w:val="7F7F7F" w:themeColor="background1" w:themeShade="7F"/>
          <w:spacing w:val="60"/>
        </w:rPr>
      </w:sdtEndPr>
      <w:sdtContent>
        <w:r w:rsidR="00BF7F5D">
          <w:fldChar w:fldCharType="begin"/>
        </w:r>
        <w:r w:rsidR="00BF7F5D">
          <w:instrText xml:space="preserve"> PAGE   \* MERGEFORMAT </w:instrText>
        </w:r>
        <w:r w:rsidR="00BF7F5D">
          <w:fldChar w:fldCharType="separate"/>
        </w:r>
        <w:r w:rsidR="00BF7F5D">
          <w:rPr>
            <w:b/>
            <w:bCs/>
            <w:noProof/>
          </w:rPr>
          <w:t>2</w:t>
        </w:r>
        <w:r w:rsidR="00BF7F5D">
          <w:rPr>
            <w:b/>
            <w:bCs/>
            <w:noProof/>
          </w:rPr>
          <w:fldChar w:fldCharType="end"/>
        </w:r>
        <w:r w:rsidR="00BF7F5D">
          <w:rPr>
            <w:b/>
            <w:bCs/>
          </w:rPr>
          <w:t xml:space="preserve"> | </w:t>
        </w:r>
        <w:r w:rsidR="00BF7F5D">
          <w:rPr>
            <w:color w:val="7F7F7F" w:themeColor="background1" w:themeShade="7F"/>
            <w:spacing w:val="60"/>
          </w:rPr>
          <w:t>Page</w:t>
        </w:r>
      </w:sdtContent>
    </w:sdt>
    <w:r w:rsidR="00BF7F5D">
      <w:rPr>
        <w:color w:val="7F7F7F" w:themeColor="background1" w:themeShade="7F"/>
        <w:spacing w:val="60"/>
      </w:rPr>
      <w:t xml:space="preserve">     Discussion / Resolution Table for Treatment of HES Results in PSD</w:t>
    </w:r>
  </w:p>
  <w:p w14:paraId="31D80099" w14:textId="77777777" w:rsidR="00BF7F5D" w:rsidRDefault="00BF7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8F8BB" w14:textId="77777777" w:rsidR="00C8097A" w:rsidRDefault="00C8097A" w:rsidP="00793FF0">
      <w:pPr>
        <w:spacing w:after="0" w:line="240" w:lineRule="auto"/>
      </w:pPr>
      <w:r>
        <w:separator/>
      </w:r>
    </w:p>
  </w:footnote>
  <w:footnote w:type="continuationSeparator" w:id="0">
    <w:p w14:paraId="67EF8028" w14:textId="77777777" w:rsidR="00C8097A" w:rsidRDefault="00C8097A" w:rsidP="00793FF0">
      <w:pPr>
        <w:spacing w:after="0" w:line="240" w:lineRule="auto"/>
      </w:pPr>
      <w:r>
        <w:continuationSeparator/>
      </w:r>
    </w:p>
  </w:footnote>
  <w:footnote w:id="1">
    <w:p w14:paraId="05CDEE23" w14:textId="38965738" w:rsidR="00862062" w:rsidRDefault="00862062">
      <w:pPr>
        <w:pStyle w:val="FootnoteText"/>
      </w:pPr>
      <w:r>
        <w:rPr>
          <w:rStyle w:val="FootnoteReference"/>
        </w:rPr>
        <w:footnoteRef/>
      </w:r>
      <w:r>
        <w:t xml:space="preserve"> Utilities increased Delta watts from 35 kWh per lamp in 2011 PSD, to 54 kWh per lamp for 2015-16.  Increase is not defensible.  Utilities calculate savings using 55 kWh x 2.7 hours per day.  EA team argues 1) Delta watts too high (EISA and baseline), and 2) more defensible hours of use per day from studies is less than 2.3 hours/day and potentially closer to 1 hour/day.  </w:t>
      </w:r>
    </w:p>
  </w:footnote>
  <w:footnote w:id="2">
    <w:p w14:paraId="018D26DA" w14:textId="63DB3CDD" w:rsidR="00862062" w:rsidRPr="007B2B6C" w:rsidRDefault="00862062" w:rsidP="00AC135A">
      <w:pPr>
        <w:spacing w:after="0" w:line="240" w:lineRule="auto"/>
        <w:rPr>
          <w:rFonts w:cstheme="minorHAnsi"/>
          <w:sz w:val="20"/>
          <w:szCs w:val="20"/>
        </w:rPr>
      </w:pPr>
      <w:r w:rsidRPr="007B2B6C">
        <w:rPr>
          <w:rStyle w:val="FootnoteReference"/>
          <w:sz w:val="20"/>
          <w:szCs w:val="20"/>
        </w:rPr>
        <w:footnoteRef/>
      </w:r>
      <w:r w:rsidRPr="007B2B6C">
        <w:rPr>
          <w:sz w:val="20"/>
          <w:szCs w:val="20"/>
        </w:rPr>
        <w:t xml:space="preserve"> The Companies were asked their reason for using a weighted statewide RR.  Their reasoning was that having different offerings or different incentive levels between service territories in CT creates issues for vendors and confusion for customers.  They therefore generally try to have statewide RRs so that they can offer the same incentive</w:t>
      </w:r>
      <w:r>
        <w:rPr>
          <w:sz w:val="20"/>
          <w:szCs w:val="20"/>
        </w:rPr>
        <w:t xml:space="preserve">. This approach relies on problematic mathematics and </w:t>
      </w:r>
      <w:r w:rsidRPr="007B2B6C">
        <w:rPr>
          <w:sz w:val="20"/>
          <w:szCs w:val="20"/>
        </w:rPr>
        <w:t>produces divergent savings estimates</w:t>
      </w:r>
      <w:r>
        <w:rPr>
          <w:sz w:val="20"/>
          <w:szCs w:val="20"/>
        </w:rPr>
        <w:t>.</w:t>
      </w:r>
      <w:r w:rsidRPr="007B2B6C">
        <w:rPr>
          <w:sz w:val="20"/>
          <w:szCs w:val="20"/>
        </w:rPr>
        <w:t xml:space="preserve"> </w:t>
      </w:r>
      <w:r>
        <w:rPr>
          <w:sz w:val="20"/>
          <w:szCs w:val="20"/>
        </w:rPr>
        <w:t xml:space="preserve">Also, it is not necessary to have a statewide RR in order to have statewide incentives and offerings.  </w:t>
      </w:r>
      <w:r w:rsidRPr="007B2B6C">
        <w:rPr>
          <w:sz w:val="20"/>
          <w:szCs w:val="20"/>
        </w:rPr>
        <w:t xml:space="preserve">We note that no other state that we work in has adopted this practice.  In those states, incentives are set statewide, and </w:t>
      </w:r>
      <w:r>
        <w:rPr>
          <w:sz w:val="20"/>
          <w:szCs w:val="20"/>
        </w:rPr>
        <w:t xml:space="preserve">the </w:t>
      </w:r>
      <w:r w:rsidRPr="007B2B6C">
        <w:rPr>
          <w:sz w:val="20"/>
          <w:szCs w:val="20"/>
        </w:rPr>
        <w:t>reported RRs differ by utility when evidence of differences are detected. RR</w:t>
      </w:r>
      <w:r>
        <w:rPr>
          <w:sz w:val="20"/>
          <w:szCs w:val="20"/>
        </w:rPr>
        <w:t>s</w:t>
      </w:r>
      <w:r w:rsidRPr="007B2B6C">
        <w:rPr>
          <w:sz w:val="20"/>
          <w:szCs w:val="20"/>
        </w:rPr>
        <w:t xml:space="preserve"> may differ because of the underlying differences in weather or housing conditions or because one </w:t>
      </w:r>
      <w:r w:rsidRPr="007B2B6C">
        <w:rPr>
          <w:rFonts w:cstheme="minorHAnsi"/>
          <w:sz w:val="20"/>
          <w:szCs w:val="20"/>
        </w:rPr>
        <w:t xml:space="preserve">utility performs differently than another.  </w:t>
      </w:r>
    </w:p>
  </w:footnote>
  <w:footnote w:id="3">
    <w:p w14:paraId="1F1820AF" w14:textId="088F5EAB" w:rsidR="00862062" w:rsidRDefault="00862062" w:rsidP="00AC135A">
      <w:pPr>
        <w:pStyle w:val="FootnoteText"/>
      </w:pPr>
      <w:r>
        <w:rPr>
          <w:rStyle w:val="FootnoteReference"/>
        </w:rPr>
        <w:footnoteRef/>
      </w:r>
      <w:r>
        <w:t xml:space="preserve"> As the Plan notes, program changes have significantly reduced the over-estimation of savings that the billing analysis found.  We can see the possibility that these changes may also improve the performance within each home and result in some additional savings. For that reason, we are suggesting that the 15.4 MCF found for HES and 15.8 MCF found for HES-IE be raised to 17.4 MCF. The 17.4 value is the midpoint between the 15.8 value found for HES-IE and the 18.9 MCF Eversource reported as their 2019 projected gross HES-IE savings.  We recommend setting HES values at this same amount.  We also note that no significant differences were found between utility evaluated savings, so savings amounts apply to each utility.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34A5"/>
    <w:multiLevelType w:val="hybridMultilevel"/>
    <w:tmpl w:val="D11EE6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B85956"/>
    <w:multiLevelType w:val="hybridMultilevel"/>
    <w:tmpl w:val="B9F4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C050B4"/>
    <w:multiLevelType w:val="hybridMultilevel"/>
    <w:tmpl w:val="9882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BDC"/>
    <w:rsid w:val="00007568"/>
    <w:rsid w:val="00032ACF"/>
    <w:rsid w:val="00041DE0"/>
    <w:rsid w:val="00050B16"/>
    <w:rsid w:val="0006147A"/>
    <w:rsid w:val="000825D2"/>
    <w:rsid w:val="00083E21"/>
    <w:rsid w:val="000C2E88"/>
    <w:rsid w:val="000E6FAF"/>
    <w:rsid w:val="000F63BD"/>
    <w:rsid w:val="00113F0C"/>
    <w:rsid w:val="00136796"/>
    <w:rsid w:val="0014106E"/>
    <w:rsid w:val="00181E1D"/>
    <w:rsid w:val="00184D9B"/>
    <w:rsid w:val="0019185C"/>
    <w:rsid w:val="001964F8"/>
    <w:rsid w:val="001A24A0"/>
    <w:rsid w:val="001B1BC3"/>
    <w:rsid w:val="001D6A3B"/>
    <w:rsid w:val="00231400"/>
    <w:rsid w:val="002342C2"/>
    <w:rsid w:val="00246FD5"/>
    <w:rsid w:val="00263425"/>
    <w:rsid w:val="00264B13"/>
    <w:rsid w:val="00273624"/>
    <w:rsid w:val="002B2F84"/>
    <w:rsid w:val="002C1311"/>
    <w:rsid w:val="002E0901"/>
    <w:rsid w:val="002F3E95"/>
    <w:rsid w:val="00314133"/>
    <w:rsid w:val="00317DCB"/>
    <w:rsid w:val="00357237"/>
    <w:rsid w:val="0036213D"/>
    <w:rsid w:val="00372AD1"/>
    <w:rsid w:val="00387570"/>
    <w:rsid w:val="00393971"/>
    <w:rsid w:val="003A0A9A"/>
    <w:rsid w:val="003A6BDC"/>
    <w:rsid w:val="003E0C4B"/>
    <w:rsid w:val="003F7158"/>
    <w:rsid w:val="00422A2A"/>
    <w:rsid w:val="00434F77"/>
    <w:rsid w:val="004471A5"/>
    <w:rsid w:val="00467BBC"/>
    <w:rsid w:val="00497BD5"/>
    <w:rsid w:val="004A0836"/>
    <w:rsid w:val="004B6F62"/>
    <w:rsid w:val="004E0B67"/>
    <w:rsid w:val="004F262B"/>
    <w:rsid w:val="004F70B7"/>
    <w:rsid w:val="0050765A"/>
    <w:rsid w:val="0052303F"/>
    <w:rsid w:val="005254B9"/>
    <w:rsid w:val="00535518"/>
    <w:rsid w:val="0055688E"/>
    <w:rsid w:val="005644FB"/>
    <w:rsid w:val="00581E14"/>
    <w:rsid w:val="005925BB"/>
    <w:rsid w:val="00593A47"/>
    <w:rsid w:val="00596D66"/>
    <w:rsid w:val="005B5ED9"/>
    <w:rsid w:val="005B6A0B"/>
    <w:rsid w:val="00617873"/>
    <w:rsid w:val="00620874"/>
    <w:rsid w:val="00626AC5"/>
    <w:rsid w:val="00626C81"/>
    <w:rsid w:val="00650EAB"/>
    <w:rsid w:val="00652173"/>
    <w:rsid w:val="0067088A"/>
    <w:rsid w:val="00675B63"/>
    <w:rsid w:val="00677804"/>
    <w:rsid w:val="00686693"/>
    <w:rsid w:val="006A0EA2"/>
    <w:rsid w:val="006C206F"/>
    <w:rsid w:val="006C4430"/>
    <w:rsid w:val="006F1A0A"/>
    <w:rsid w:val="00705919"/>
    <w:rsid w:val="00705BD8"/>
    <w:rsid w:val="007721CA"/>
    <w:rsid w:val="0078096C"/>
    <w:rsid w:val="007855F9"/>
    <w:rsid w:val="007909BC"/>
    <w:rsid w:val="00793FF0"/>
    <w:rsid w:val="007B2B6C"/>
    <w:rsid w:val="007E1FFC"/>
    <w:rsid w:val="007F337B"/>
    <w:rsid w:val="00802839"/>
    <w:rsid w:val="00824885"/>
    <w:rsid w:val="00862062"/>
    <w:rsid w:val="00870264"/>
    <w:rsid w:val="008C1DB7"/>
    <w:rsid w:val="008C2B3B"/>
    <w:rsid w:val="008D3F94"/>
    <w:rsid w:val="008E2993"/>
    <w:rsid w:val="008E33DE"/>
    <w:rsid w:val="008F1CB2"/>
    <w:rsid w:val="009301B2"/>
    <w:rsid w:val="0099381E"/>
    <w:rsid w:val="009B36AA"/>
    <w:rsid w:val="009D1308"/>
    <w:rsid w:val="009F1566"/>
    <w:rsid w:val="00A100A2"/>
    <w:rsid w:val="00A66A2F"/>
    <w:rsid w:val="00A7146C"/>
    <w:rsid w:val="00A757C8"/>
    <w:rsid w:val="00AA7ABE"/>
    <w:rsid w:val="00AC135A"/>
    <w:rsid w:val="00AD3C85"/>
    <w:rsid w:val="00AD605F"/>
    <w:rsid w:val="00B07E9B"/>
    <w:rsid w:val="00B460E2"/>
    <w:rsid w:val="00B569CF"/>
    <w:rsid w:val="00B66BA8"/>
    <w:rsid w:val="00B73C90"/>
    <w:rsid w:val="00B92FA7"/>
    <w:rsid w:val="00BA6162"/>
    <w:rsid w:val="00BB74C6"/>
    <w:rsid w:val="00BC1F12"/>
    <w:rsid w:val="00BC2F41"/>
    <w:rsid w:val="00BE374B"/>
    <w:rsid w:val="00BF1477"/>
    <w:rsid w:val="00BF1D0B"/>
    <w:rsid w:val="00BF7F5D"/>
    <w:rsid w:val="00C06D92"/>
    <w:rsid w:val="00C111C6"/>
    <w:rsid w:val="00C57F29"/>
    <w:rsid w:val="00C63465"/>
    <w:rsid w:val="00C8097A"/>
    <w:rsid w:val="00C81208"/>
    <w:rsid w:val="00CB2904"/>
    <w:rsid w:val="00CC28F3"/>
    <w:rsid w:val="00CD0A0C"/>
    <w:rsid w:val="00CD4614"/>
    <w:rsid w:val="00D1073D"/>
    <w:rsid w:val="00D13F3F"/>
    <w:rsid w:val="00D22CCE"/>
    <w:rsid w:val="00D43F3D"/>
    <w:rsid w:val="00D52175"/>
    <w:rsid w:val="00D57CE2"/>
    <w:rsid w:val="00D724F6"/>
    <w:rsid w:val="00DA2FC9"/>
    <w:rsid w:val="00DA3ACF"/>
    <w:rsid w:val="00DC2E8B"/>
    <w:rsid w:val="00E21D41"/>
    <w:rsid w:val="00E75EFB"/>
    <w:rsid w:val="00EA49CD"/>
    <w:rsid w:val="00EC5F72"/>
    <w:rsid w:val="00EF27ED"/>
    <w:rsid w:val="00EF53E7"/>
    <w:rsid w:val="00F16CCD"/>
    <w:rsid w:val="00F867A6"/>
    <w:rsid w:val="00FF4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32458"/>
  <w15:docId w15:val="{9569711A-921F-4F51-BE35-CEE79ADD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EAB"/>
  </w:style>
  <w:style w:type="paragraph" w:styleId="Heading2">
    <w:name w:val="heading 2"/>
    <w:basedOn w:val="Normal"/>
    <w:next w:val="Normal"/>
    <w:link w:val="Heading2Char"/>
    <w:uiPriority w:val="9"/>
    <w:unhideWhenUsed/>
    <w:qFormat/>
    <w:rsid w:val="00626C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26C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semiHidden/>
    <w:unhideWhenUsed/>
    <w:qFormat/>
    <w:rsid w:val="00626C8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2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2F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2FA7"/>
    <w:rPr>
      <w:rFonts w:ascii="Segoe UI" w:hAnsi="Segoe UI" w:cs="Segoe UI"/>
      <w:sz w:val="18"/>
      <w:szCs w:val="18"/>
    </w:rPr>
  </w:style>
  <w:style w:type="character" w:styleId="CommentReference">
    <w:name w:val="annotation reference"/>
    <w:basedOn w:val="DefaultParagraphFont"/>
    <w:uiPriority w:val="99"/>
    <w:semiHidden/>
    <w:unhideWhenUsed/>
    <w:rsid w:val="00C57F29"/>
    <w:rPr>
      <w:sz w:val="16"/>
      <w:szCs w:val="16"/>
    </w:rPr>
  </w:style>
  <w:style w:type="paragraph" w:styleId="CommentText">
    <w:name w:val="annotation text"/>
    <w:basedOn w:val="Normal"/>
    <w:link w:val="CommentTextChar"/>
    <w:uiPriority w:val="99"/>
    <w:unhideWhenUsed/>
    <w:rsid w:val="00C57F29"/>
    <w:pPr>
      <w:spacing w:line="240" w:lineRule="auto"/>
    </w:pPr>
    <w:rPr>
      <w:sz w:val="20"/>
      <w:szCs w:val="20"/>
    </w:rPr>
  </w:style>
  <w:style w:type="character" w:customStyle="1" w:styleId="CommentTextChar">
    <w:name w:val="Comment Text Char"/>
    <w:basedOn w:val="DefaultParagraphFont"/>
    <w:link w:val="CommentText"/>
    <w:uiPriority w:val="99"/>
    <w:rsid w:val="00C57F29"/>
    <w:rPr>
      <w:sz w:val="20"/>
      <w:szCs w:val="20"/>
    </w:rPr>
  </w:style>
  <w:style w:type="paragraph" w:styleId="CommentSubject">
    <w:name w:val="annotation subject"/>
    <w:basedOn w:val="CommentText"/>
    <w:next w:val="CommentText"/>
    <w:link w:val="CommentSubjectChar"/>
    <w:uiPriority w:val="99"/>
    <w:semiHidden/>
    <w:unhideWhenUsed/>
    <w:rsid w:val="00C57F29"/>
    <w:rPr>
      <w:b/>
      <w:bCs/>
    </w:rPr>
  </w:style>
  <w:style w:type="character" w:customStyle="1" w:styleId="CommentSubjectChar">
    <w:name w:val="Comment Subject Char"/>
    <w:basedOn w:val="CommentTextChar"/>
    <w:link w:val="CommentSubject"/>
    <w:uiPriority w:val="99"/>
    <w:semiHidden/>
    <w:rsid w:val="00C57F29"/>
    <w:rPr>
      <w:b/>
      <w:bCs/>
      <w:sz w:val="20"/>
      <w:szCs w:val="20"/>
    </w:rPr>
  </w:style>
  <w:style w:type="paragraph" w:styleId="ListParagraph">
    <w:name w:val="List Paragraph"/>
    <w:basedOn w:val="Normal"/>
    <w:link w:val="ListParagraphChar"/>
    <w:uiPriority w:val="34"/>
    <w:qFormat/>
    <w:rsid w:val="002B2F84"/>
    <w:pPr>
      <w:ind w:left="720"/>
      <w:contextualSpacing/>
    </w:pPr>
  </w:style>
  <w:style w:type="paragraph" w:styleId="FootnoteText">
    <w:name w:val="footnote text"/>
    <w:aliases w:val="Footnote Text1 Char,Footnote Text Char Ch Char Char Char,Footnote Text Char Ch Char Char,Footnote Text1 Char Char Char,Footnote Text Char Ch Char,Footnote Text Char Ch,ft Char,ft,EMI Footnote Text,DFSListFootnote,TBG Style,ALTS FOOTNOTE,fn"/>
    <w:basedOn w:val="Normal"/>
    <w:link w:val="FootnoteTextChar"/>
    <w:uiPriority w:val="99"/>
    <w:semiHidden/>
    <w:unhideWhenUsed/>
    <w:qFormat/>
    <w:rsid w:val="00793FF0"/>
    <w:pPr>
      <w:spacing w:after="0" w:line="240" w:lineRule="auto"/>
    </w:pPr>
    <w:rPr>
      <w:sz w:val="20"/>
      <w:szCs w:val="20"/>
    </w:rPr>
  </w:style>
  <w:style w:type="character" w:customStyle="1" w:styleId="FootnoteTextChar">
    <w:name w:val="Footnote Text Char"/>
    <w:aliases w:val="Footnote Text1 Char Char,Footnote Text Char Ch Char Char Char Char,Footnote Text Char Ch Char Char Char1,Footnote Text1 Char Char Char Char,Footnote Text Char Ch Char Char1,Footnote Text Char Ch Char1,ft Char Char,ft Char1,fn Char"/>
    <w:basedOn w:val="DefaultParagraphFont"/>
    <w:link w:val="FootnoteText"/>
    <w:uiPriority w:val="99"/>
    <w:semiHidden/>
    <w:rsid w:val="00793FF0"/>
    <w:rPr>
      <w:sz w:val="20"/>
      <w:szCs w:val="20"/>
    </w:rPr>
  </w:style>
  <w:style w:type="character" w:styleId="FootnoteReference">
    <w:name w:val="footnote reference"/>
    <w:aliases w:val="Footnote_Reference,o,fr,TT - Footnote Reference"/>
    <w:basedOn w:val="DefaultParagraphFont"/>
    <w:uiPriority w:val="99"/>
    <w:semiHidden/>
    <w:unhideWhenUsed/>
    <w:qFormat/>
    <w:rsid w:val="00793FF0"/>
    <w:rPr>
      <w:vertAlign w:val="superscript"/>
    </w:rPr>
  </w:style>
  <w:style w:type="character" w:customStyle="1" w:styleId="Heading2Char">
    <w:name w:val="Heading 2 Char"/>
    <w:basedOn w:val="DefaultParagraphFont"/>
    <w:link w:val="Heading2"/>
    <w:uiPriority w:val="9"/>
    <w:rsid w:val="00626C8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26C81"/>
    <w:rPr>
      <w:rFonts w:asciiTheme="majorHAnsi" w:eastAsiaTheme="majorEastAsia" w:hAnsiTheme="majorHAnsi" w:cstheme="majorBidi"/>
      <w:color w:val="1F3763" w:themeColor="accent1" w:themeShade="7F"/>
      <w:sz w:val="24"/>
      <w:szCs w:val="24"/>
    </w:rPr>
  </w:style>
  <w:style w:type="character" w:customStyle="1" w:styleId="NoSpacingChar">
    <w:name w:val="No Spacing Char"/>
    <w:basedOn w:val="DefaultParagraphFont"/>
    <w:link w:val="NoSpacing"/>
    <w:uiPriority w:val="1"/>
    <w:locked/>
    <w:rsid w:val="00626C81"/>
  </w:style>
  <w:style w:type="paragraph" w:styleId="NoSpacing">
    <w:name w:val="No Spacing"/>
    <w:link w:val="NoSpacingChar"/>
    <w:uiPriority w:val="1"/>
    <w:qFormat/>
    <w:rsid w:val="00626C81"/>
    <w:pPr>
      <w:spacing w:after="0" w:line="240" w:lineRule="auto"/>
    </w:pPr>
  </w:style>
  <w:style w:type="character" w:customStyle="1" w:styleId="ListParagraphChar">
    <w:name w:val="List Paragraph Char"/>
    <w:basedOn w:val="DefaultParagraphFont"/>
    <w:link w:val="ListParagraph"/>
    <w:locked/>
    <w:rsid w:val="00626C81"/>
  </w:style>
  <w:style w:type="character" w:customStyle="1" w:styleId="Heading6Char">
    <w:name w:val="Heading 6 Char"/>
    <w:basedOn w:val="DefaultParagraphFont"/>
    <w:link w:val="Heading6"/>
    <w:uiPriority w:val="9"/>
    <w:semiHidden/>
    <w:rsid w:val="00626C81"/>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B46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0E2"/>
  </w:style>
  <w:style w:type="paragraph" w:styleId="Footer">
    <w:name w:val="footer"/>
    <w:basedOn w:val="Normal"/>
    <w:link w:val="FooterChar"/>
    <w:uiPriority w:val="99"/>
    <w:unhideWhenUsed/>
    <w:rsid w:val="00B46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32726">
      <w:bodyDiv w:val="1"/>
      <w:marLeft w:val="0"/>
      <w:marRight w:val="0"/>
      <w:marTop w:val="0"/>
      <w:marBottom w:val="0"/>
      <w:divBdr>
        <w:top w:val="none" w:sz="0" w:space="0" w:color="auto"/>
        <w:left w:val="none" w:sz="0" w:space="0" w:color="auto"/>
        <w:bottom w:val="none" w:sz="0" w:space="0" w:color="auto"/>
        <w:right w:val="none" w:sz="0" w:space="0" w:color="auto"/>
      </w:divBdr>
    </w:div>
    <w:div w:id="152110973">
      <w:bodyDiv w:val="1"/>
      <w:marLeft w:val="0"/>
      <w:marRight w:val="0"/>
      <w:marTop w:val="0"/>
      <w:marBottom w:val="0"/>
      <w:divBdr>
        <w:top w:val="none" w:sz="0" w:space="0" w:color="auto"/>
        <w:left w:val="none" w:sz="0" w:space="0" w:color="auto"/>
        <w:bottom w:val="none" w:sz="0" w:space="0" w:color="auto"/>
        <w:right w:val="none" w:sz="0" w:space="0" w:color="auto"/>
      </w:divBdr>
    </w:div>
    <w:div w:id="200868072">
      <w:bodyDiv w:val="1"/>
      <w:marLeft w:val="0"/>
      <w:marRight w:val="0"/>
      <w:marTop w:val="0"/>
      <w:marBottom w:val="0"/>
      <w:divBdr>
        <w:top w:val="none" w:sz="0" w:space="0" w:color="auto"/>
        <w:left w:val="none" w:sz="0" w:space="0" w:color="auto"/>
        <w:bottom w:val="none" w:sz="0" w:space="0" w:color="auto"/>
        <w:right w:val="none" w:sz="0" w:space="0" w:color="auto"/>
      </w:divBdr>
    </w:div>
    <w:div w:id="413013391">
      <w:bodyDiv w:val="1"/>
      <w:marLeft w:val="0"/>
      <w:marRight w:val="0"/>
      <w:marTop w:val="0"/>
      <w:marBottom w:val="0"/>
      <w:divBdr>
        <w:top w:val="none" w:sz="0" w:space="0" w:color="auto"/>
        <w:left w:val="none" w:sz="0" w:space="0" w:color="auto"/>
        <w:bottom w:val="none" w:sz="0" w:space="0" w:color="auto"/>
        <w:right w:val="none" w:sz="0" w:space="0" w:color="auto"/>
      </w:divBdr>
    </w:div>
    <w:div w:id="779419900">
      <w:bodyDiv w:val="1"/>
      <w:marLeft w:val="0"/>
      <w:marRight w:val="0"/>
      <w:marTop w:val="0"/>
      <w:marBottom w:val="0"/>
      <w:divBdr>
        <w:top w:val="none" w:sz="0" w:space="0" w:color="auto"/>
        <w:left w:val="none" w:sz="0" w:space="0" w:color="auto"/>
        <w:bottom w:val="none" w:sz="0" w:space="0" w:color="auto"/>
        <w:right w:val="none" w:sz="0" w:space="0" w:color="auto"/>
      </w:divBdr>
    </w:div>
    <w:div w:id="807556650">
      <w:bodyDiv w:val="1"/>
      <w:marLeft w:val="0"/>
      <w:marRight w:val="0"/>
      <w:marTop w:val="0"/>
      <w:marBottom w:val="0"/>
      <w:divBdr>
        <w:top w:val="none" w:sz="0" w:space="0" w:color="auto"/>
        <w:left w:val="none" w:sz="0" w:space="0" w:color="auto"/>
        <w:bottom w:val="none" w:sz="0" w:space="0" w:color="auto"/>
        <w:right w:val="none" w:sz="0" w:space="0" w:color="auto"/>
      </w:divBdr>
    </w:div>
    <w:div w:id="1108282642">
      <w:bodyDiv w:val="1"/>
      <w:marLeft w:val="0"/>
      <w:marRight w:val="0"/>
      <w:marTop w:val="0"/>
      <w:marBottom w:val="0"/>
      <w:divBdr>
        <w:top w:val="none" w:sz="0" w:space="0" w:color="auto"/>
        <w:left w:val="none" w:sz="0" w:space="0" w:color="auto"/>
        <w:bottom w:val="none" w:sz="0" w:space="0" w:color="auto"/>
        <w:right w:val="none" w:sz="0" w:space="0" w:color="auto"/>
      </w:divBdr>
    </w:div>
    <w:div w:id="150034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A1318FD40A074A8A4E20AF3A18D6BD" ma:contentTypeVersion="13" ma:contentTypeDescription="Create a new document." ma:contentTypeScope="" ma:versionID="673f84903c47106e808243be72d5dab8">
  <xsd:schema xmlns:xsd="http://www.w3.org/2001/XMLSchema" xmlns:xs="http://www.w3.org/2001/XMLSchema" xmlns:p="http://schemas.microsoft.com/office/2006/metadata/properties" xmlns:ns3="e9cc0203-e362-4e78-a274-7546a88a9704" xmlns:ns4="3bf9a92c-e564-4afb-b5f1-e0b51bc8c2b2" targetNamespace="http://schemas.microsoft.com/office/2006/metadata/properties" ma:root="true" ma:fieldsID="3c38cdaca40529986a74ffd06e8aa327" ns3:_="" ns4:_="">
    <xsd:import namespace="e9cc0203-e362-4e78-a274-7546a88a9704"/>
    <xsd:import namespace="3bf9a92c-e564-4afb-b5f1-e0b51bc8c2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cc0203-e362-4e78-a274-7546a88a970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f9a92c-e564-4afb-b5f1-e0b51bc8c2b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30E7A-DF10-481E-AC90-06277B840C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71005B-FF49-4D1E-989B-6BCE0C08EA0D}">
  <ds:schemaRefs>
    <ds:schemaRef ds:uri="http://schemas.microsoft.com/sharepoint/v3/contenttype/forms"/>
  </ds:schemaRefs>
</ds:datastoreItem>
</file>

<file path=customXml/itemProps3.xml><?xml version="1.0" encoding="utf-8"?>
<ds:datastoreItem xmlns:ds="http://schemas.openxmlformats.org/officeDocument/2006/customXml" ds:itemID="{06C26769-5AD9-4FBB-BA23-181855886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cc0203-e362-4e78-a274-7546a88a9704"/>
    <ds:schemaRef ds:uri="3bf9a92c-e564-4afb-b5f1-e0b51bc8c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654878-704F-4371-8B1F-BCB2C834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Wirtshafter</dc:creator>
  <cp:lastModifiedBy>Lisa Skumatz</cp:lastModifiedBy>
  <cp:revision>4</cp:revision>
  <cp:lastPrinted>2019-12-04T13:21:00Z</cp:lastPrinted>
  <dcterms:created xsi:type="dcterms:W3CDTF">2019-12-20T18:13:00Z</dcterms:created>
  <dcterms:modified xsi:type="dcterms:W3CDTF">2019-12-20T18:24:00Z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0x010100F7A1318FD40A074A8A4E20AF3A18D6BD</vt:lpwstr>
  </property>
</Properties>
</file>