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8D07E4" w14:textId="77777777" w:rsidR="009A42D4" w:rsidRPr="009A42D4" w:rsidRDefault="009A42D4">
      <w:pPr>
        <w:rPr>
          <w:b/>
          <w:bCs/>
          <w:sz w:val="28"/>
          <w:szCs w:val="28"/>
        </w:rPr>
      </w:pPr>
      <w:bookmarkStart w:id="0" w:name="_GoBack"/>
      <w:bookmarkEnd w:id="0"/>
      <w:r w:rsidRPr="009A42D4">
        <w:rPr>
          <w:b/>
          <w:bCs/>
          <w:sz w:val="28"/>
          <w:szCs w:val="28"/>
        </w:rPr>
        <w:t>MEMORANDUM</w:t>
      </w:r>
    </w:p>
    <w:p w14:paraId="5B749762" w14:textId="77777777" w:rsidR="009A42D4" w:rsidRDefault="009A42D4"/>
    <w:p w14:paraId="22E07779" w14:textId="77777777" w:rsidR="009A42D4" w:rsidRDefault="009A42D4">
      <w:r w:rsidRPr="009A42D4">
        <w:rPr>
          <w:b/>
          <w:bCs/>
        </w:rPr>
        <w:t>DATE</w:t>
      </w:r>
      <w:r>
        <w:t>:</w:t>
      </w:r>
      <w:r>
        <w:tab/>
      </w:r>
      <w:r>
        <w:tab/>
        <w:t>10/4/19</w:t>
      </w:r>
    </w:p>
    <w:p w14:paraId="185433E0" w14:textId="77777777" w:rsidR="009A42D4" w:rsidRDefault="009A42D4">
      <w:r w:rsidRPr="009A42D4">
        <w:rPr>
          <w:b/>
          <w:bCs/>
        </w:rPr>
        <w:t>TO</w:t>
      </w:r>
      <w:r>
        <w:t>:</w:t>
      </w:r>
      <w:r>
        <w:tab/>
      </w:r>
      <w:r>
        <w:tab/>
        <w:t>Evaluation Committee</w:t>
      </w:r>
    </w:p>
    <w:p w14:paraId="7156E6D2" w14:textId="77777777" w:rsidR="009A42D4" w:rsidRDefault="009A42D4">
      <w:r w:rsidRPr="009A42D4">
        <w:rPr>
          <w:b/>
          <w:bCs/>
        </w:rPr>
        <w:t>FROM</w:t>
      </w:r>
      <w:r>
        <w:t>:</w:t>
      </w:r>
      <w:r>
        <w:tab/>
      </w:r>
      <w:r>
        <w:tab/>
        <w:t>Skumatz, Prahl,  Wirtshafter, Jacobson, Chiodo</w:t>
      </w:r>
    </w:p>
    <w:p w14:paraId="2DE20D50" w14:textId="77777777" w:rsidR="009A42D4" w:rsidRDefault="009A42D4">
      <w:r w:rsidRPr="009A42D4">
        <w:rPr>
          <w:b/>
          <w:bCs/>
        </w:rPr>
        <w:t>SUBJECT</w:t>
      </w:r>
      <w:r>
        <w:t>:</w:t>
      </w:r>
      <w:r>
        <w:tab/>
        <w:t xml:space="preserve">Scoring / Qualifying Firms for Evaluation Subject Area Pools, 2019-2021 </w:t>
      </w:r>
    </w:p>
    <w:p w14:paraId="542575D3" w14:textId="77777777" w:rsidR="009A42D4" w:rsidRDefault="009A42D4"/>
    <w:p w14:paraId="3C260F99" w14:textId="77777777" w:rsidR="009A42D4" w:rsidRDefault="009A42D4">
      <w:r>
        <w:t>The Evaluation proposals were scored for research area pools.  These pools become a high priority as we move into the development of RFPs for 2020/2021 projects.  The qualified “pool” firms – plus the winners of 2019 projects</w:t>
      </w:r>
      <w:r w:rsidR="001A1983">
        <w:t xml:space="preserve"> within the research area</w:t>
      </w:r>
      <w:r>
        <w:t xml:space="preserve"> -- form our eligible bidders list for each of three research areas:</w:t>
      </w:r>
    </w:p>
    <w:p w14:paraId="1B31224C" w14:textId="77777777" w:rsidR="009A42D4" w:rsidRDefault="009A42D4" w:rsidP="009A42D4">
      <w:pPr>
        <w:pStyle w:val="ListParagraph"/>
        <w:numPr>
          <w:ilvl w:val="0"/>
          <w:numId w:val="3"/>
        </w:numPr>
      </w:pPr>
      <w:r>
        <w:t>Residential evaluation pool – for a variety of evaluation projects in the residential sector.</w:t>
      </w:r>
    </w:p>
    <w:p w14:paraId="46FD7C8D" w14:textId="77777777" w:rsidR="009A42D4" w:rsidRDefault="009A42D4" w:rsidP="009A42D4">
      <w:pPr>
        <w:pStyle w:val="ListParagraph"/>
        <w:numPr>
          <w:ilvl w:val="0"/>
          <w:numId w:val="3"/>
        </w:numPr>
      </w:pPr>
      <w:r>
        <w:t>Commercial evaluation pool – for a variety of evaluation projects in the residential sector</w:t>
      </w:r>
    </w:p>
    <w:p w14:paraId="059FF6E2" w14:textId="77777777" w:rsidR="009A42D4" w:rsidRDefault="009A42D4" w:rsidP="009A42D4">
      <w:pPr>
        <w:pStyle w:val="ListParagraph"/>
        <w:numPr>
          <w:ilvl w:val="0"/>
          <w:numId w:val="3"/>
        </w:numPr>
      </w:pPr>
      <w:r>
        <w:t>Survey capabilities pool – supplementing the access of qualified resid</w:t>
      </w:r>
      <w:r w:rsidR="001A1983">
        <w:t>ential</w:t>
      </w:r>
      <w:r>
        <w:t xml:space="preserve">, commercial, and crosscutting </w:t>
      </w:r>
      <w:r w:rsidR="001A1983">
        <w:t>firms to survey firms to provide competition and opportunities to control costs.</w:t>
      </w:r>
    </w:p>
    <w:p w14:paraId="64CEDE6B" w14:textId="77777777" w:rsidR="009A42D4" w:rsidRDefault="009A42D4" w:rsidP="009A42D4">
      <w:r>
        <w:t xml:space="preserve">There is no separate pool for the cross-cutting projects.  Winners of previous crosscutting projects and those firms qualifying in both residential and commercial areas are eligible for these projects.  </w:t>
      </w:r>
    </w:p>
    <w:p w14:paraId="6F37900D" w14:textId="77777777" w:rsidR="009A42D4" w:rsidRDefault="009A42D4"/>
    <w:p w14:paraId="419E331E" w14:textId="77777777" w:rsidR="009A42D4" w:rsidRDefault="009A42D4">
      <w:r w:rsidRPr="001A1983">
        <w:rPr>
          <w:b/>
          <w:bCs/>
        </w:rPr>
        <w:t>Process</w:t>
      </w:r>
      <w:r>
        <w:t>:</w:t>
      </w:r>
    </w:p>
    <w:p w14:paraId="6D1BCB0E" w14:textId="77777777" w:rsidR="009A42D4" w:rsidRDefault="009A42D4">
      <w:r>
        <w:t>Using a scale of 1-10 (10 being the best), at least three EA Team members scored each proposal on three criteria:</w:t>
      </w:r>
    </w:p>
    <w:p w14:paraId="5E49CB06" w14:textId="77777777" w:rsidR="009A42D4" w:rsidRDefault="009A42D4" w:rsidP="009A42D4">
      <w:pPr>
        <w:pStyle w:val="ListParagraph"/>
        <w:numPr>
          <w:ilvl w:val="0"/>
          <w:numId w:val="2"/>
        </w:numPr>
      </w:pPr>
      <w:r>
        <w:t>Qualifications of the firms on the Team, Team Management Plan / Roles, and Quality / Depth of Previous Project Experience, including references (45%)</w:t>
      </w:r>
    </w:p>
    <w:p w14:paraId="4FFE9798" w14:textId="77777777" w:rsidR="009A42D4" w:rsidRDefault="009A42D4" w:rsidP="009A42D4">
      <w:pPr>
        <w:pStyle w:val="ListParagraph"/>
        <w:numPr>
          <w:ilvl w:val="0"/>
          <w:numId w:val="2"/>
        </w:numPr>
      </w:pPr>
      <w:r>
        <w:t>Qualifications of Team Staff included and Team Lead Manager (30%)</w:t>
      </w:r>
    </w:p>
    <w:p w14:paraId="750A8A11" w14:textId="77777777" w:rsidR="009A42D4" w:rsidRDefault="009A42D4" w:rsidP="009A42D4">
      <w:pPr>
        <w:pStyle w:val="ListParagraph"/>
        <w:numPr>
          <w:ilvl w:val="0"/>
          <w:numId w:val="2"/>
        </w:numPr>
      </w:pPr>
      <w:r>
        <w:t>Reasonableness of Rates relative to Qualifications (25%)</w:t>
      </w:r>
    </w:p>
    <w:p w14:paraId="305FA4F0" w14:textId="77777777" w:rsidR="006D2CE9" w:rsidRDefault="006D2CE9" w:rsidP="006D2CE9"/>
    <w:p w14:paraId="60476147" w14:textId="7D93B7BD" w:rsidR="006D2CE9" w:rsidRDefault="006D2CE9" w:rsidP="006D2CE9">
      <w:r>
        <w:t xml:space="preserve">A minimum threshold of an average score of </w:t>
      </w:r>
      <w:r w:rsidR="00554895">
        <w:t>6</w:t>
      </w:r>
      <w:r>
        <w:t xml:space="preserve"> was established, to allow Connecticut to maintain quality candidates, but weed out firms that would be unlikely to be successful bidders on Connecticut evaluation projects, either because of qualifications, experience, or rates, or a combination.  Each scorer reviewed the proposal and rates, and provided scores for each firm on each of the three criteria.  The weighted average  score from each scorer was carried over to a summary page for that “pool”, and the average of the scores provided the overall scored assessment of each firm proposing in that “pool”.  </w:t>
      </w:r>
    </w:p>
    <w:p w14:paraId="2D6BD5AF" w14:textId="77777777" w:rsidR="003170AA" w:rsidRDefault="006D2CE9" w:rsidP="006D2CE9">
      <w:r>
        <w:t xml:space="preserve">We present the firms that have been scored as qualified candidates in each area.  </w:t>
      </w:r>
    </w:p>
    <w:p w14:paraId="1CF15BD7" w14:textId="4D513276" w:rsidR="006D2CE9" w:rsidRDefault="006D2CE9" w:rsidP="003170AA">
      <w:pPr>
        <w:pStyle w:val="ListParagraph"/>
        <w:numPr>
          <w:ilvl w:val="0"/>
          <w:numId w:val="4"/>
        </w:numPr>
      </w:pPr>
      <w:r>
        <w:lastRenderedPageBreak/>
        <w:t xml:space="preserve">In the residential pool, the average weighted scores ranged from 4.3 (a firm that did not submit all the necessary elements) to </w:t>
      </w:r>
      <w:r w:rsidR="003170AA">
        <w:t>7.8.  1</w:t>
      </w:r>
      <w:r w:rsidR="00554895">
        <w:t>2</w:t>
      </w:r>
      <w:r w:rsidR="003170AA">
        <w:t xml:space="preserve"> firms qualify for residential RFPs, and </w:t>
      </w:r>
      <w:r w:rsidR="00554895">
        <w:t>5</w:t>
      </w:r>
      <w:r w:rsidR="003170AA">
        <w:t xml:space="preserve"> failed to qualify.</w:t>
      </w:r>
    </w:p>
    <w:p w14:paraId="725D0299" w14:textId="0A68AF92" w:rsidR="003170AA" w:rsidRDefault="003170AA" w:rsidP="003170AA">
      <w:pPr>
        <w:pStyle w:val="ListParagraph"/>
        <w:numPr>
          <w:ilvl w:val="0"/>
          <w:numId w:val="4"/>
        </w:numPr>
      </w:pPr>
      <w:r>
        <w:t xml:space="preserve">In the commercial pool, the average weighted scores ranged from 4.5 to 7.7.  </w:t>
      </w:r>
      <w:r w:rsidR="00554895">
        <w:t>8</w:t>
      </w:r>
      <w:r>
        <w:t xml:space="preserve"> firms qualify for commercial RFPs, and </w:t>
      </w:r>
      <w:r w:rsidR="00554895">
        <w:t>7</w:t>
      </w:r>
      <w:r>
        <w:t xml:space="preserve"> failed to qualify.</w:t>
      </w:r>
    </w:p>
    <w:p w14:paraId="753989F6" w14:textId="77777777" w:rsidR="003170AA" w:rsidRDefault="003170AA" w:rsidP="003170AA">
      <w:pPr>
        <w:pStyle w:val="ListParagraph"/>
        <w:numPr>
          <w:ilvl w:val="0"/>
          <w:numId w:val="4"/>
        </w:numPr>
      </w:pPr>
      <w:r>
        <w:t>In the survey pool, both firms were strong performers, and were deemed “qualified” (scores in the 7+ range).</w:t>
      </w:r>
    </w:p>
    <w:p w14:paraId="3B6E8F3D" w14:textId="77777777" w:rsidR="001A1983" w:rsidRDefault="003170AA" w:rsidP="001A1983">
      <w:r>
        <w:t xml:space="preserve">We present the qualified firms in the Table below.  We do not name those that were disqualified.  All back-up scoring information will be provided to the utilities, as per our practice.  </w:t>
      </w:r>
      <w:r w:rsidR="001F0399">
        <w:t>The list includes those firms that won projects in 2019 and were automatically qualified in the relevant research pool.</w:t>
      </w:r>
    </w:p>
    <w:p w14:paraId="2FB22396" w14:textId="77777777" w:rsidR="003170AA" w:rsidRPr="003170AA" w:rsidRDefault="003170AA" w:rsidP="003170AA">
      <w:pPr>
        <w:spacing w:after="0" w:line="240" w:lineRule="auto"/>
        <w:rPr>
          <w:b/>
          <w:bCs/>
        </w:rPr>
      </w:pPr>
      <w:r>
        <w:rPr>
          <w:b/>
          <w:bCs/>
        </w:rPr>
        <w:t>Figure 1:  Recommendations for Firms Qualified in the Three Research Areas</w:t>
      </w:r>
    </w:p>
    <w:tbl>
      <w:tblPr>
        <w:tblStyle w:val="TableGrid"/>
        <w:tblW w:w="0" w:type="auto"/>
        <w:tblLook w:val="04A0" w:firstRow="1" w:lastRow="0" w:firstColumn="1" w:lastColumn="0" w:noHBand="0" w:noVBand="1"/>
      </w:tblPr>
      <w:tblGrid>
        <w:gridCol w:w="3685"/>
        <w:gridCol w:w="2970"/>
        <w:gridCol w:w="2695"/>
      </w:tblGrid>
      <w:tr w:rsidR="003170AA" w:rsidRPr="003170AA" w14:paraId="690E238F" w14:textId="77777777" w:rsidTr="001F0399">
        <w:tc>
          <w:tcPr>
            <w:tcW w:w="3685" w:type="dxa"/>
            <w:shd w:val="clear" w:color="auto" w:fill="DEEAF6" w:themeFill="accent5" w:themeFillTint="33"/>
          </w:tcPr>
          <w:p w14:paraId="600C0E07" w14:textId="77777777" w:rsidR="003170AA" w:rsidRPr="003170AA" w:rsidRDefault="003170AA" w:rsidP="001A1983">
            <w:pPr>
              <w:rPr>
                <w:sz w:val="20"/>
                <w:szCs w:val="20"/>
              </w:rPr>
            </w:pPr>
            <w:r w:rsidRPr="003170AA">
              <w:rPr>
                <w:sz w:val="20"/>
                <w:szCs w:val="20"/>
              </w:rPr>
              <w:t>Residential Pool</w:t>
            </w:r>
          </w:p>
        </w:tc>
        <w:tc>
          <w:tcPr>
            <w:tcW w:w="2970" w:type="dxa"/>
            <w:shd w:val="clear" w:color="auto" w:fill="DEEAF6" w:themeFill="accent5" w:themeFillTint="33"/>
          </w:tcPr>
          <w:p w14:paraId="498308E5" w14:textId="77777777" w:rsidR="003170AA" w:rsidRPr="003170AA" w:rsidRDefault="003170AA" w:rsidP="001A1983">
            <w:pPr>
              <w:rPr>
                <w:sz w:val="20"/>
                <w:szCs w:val="20"/>
              </w:rPr>
            </w:pPr>
            <w:r w:rsidRPr="003170AA">
              <w:rPr>
                <w:sz w:val="20"/>
                <w:szCs w:val="20"/>
              </w:rPr>
              <w:t>Commercial Pool</w:t>
            </w:r>
          </w:p>
        </w:tc>
        <w:tc>
          <w:tcPr>
            <w:tcW w:w="2695" w:type="dxa"/>
            <w:shd w:val="clear" w:color="auto" w:fill="DEEAF6" w:themeFill="accent5" w:themeFillTint="33"/>
          </w:tcPr>
          <w:p w14:paraId="42F917AD" w14:textId="77777777" w:rsidR="003170AA" w:rsidRPr="003170AA" w:rsidRDefault="003170AA" w:rsidP="001A1983">
            <w:pPr>
              <w:rPr>
                <w:sz w:val="20"/>
                <w:szCs w:val="20"/>
              </w:rPr>
            </w:pPr>
            <w:r w:rsidRPr="003170AA">
              <w:rPr>
                <w:sz w:val="20"/>
                <w:szCs w:val="20"/>
              </w:rPr>
              <w:t>Survey Pool</w:t>
            </w:r>
          </w:p>
        </w:tc>
      </w:tr>
      <w:tr w:rsidR="003170AA" w:rsidRPr="003170AA" w14:paraId="193F72C9" w14:textId="77777777" w:rsidTr="001F0399">
        <w:tc>
          <w:tcPr>
            <w:tcW w:w="3685" w:type="dxa"/>
          </w:tcPr>
          <w:p w14:paraId="4449391B" w14:textId="77777777" w:rsidR="003170AA" w:rsidRPr="003170AA" w:rsidRDefault="003170AA" w:rsidP="003170AA">
            <w:pPr>
              <w:pStyle w:val="ListParagraph"/>
              <w:numPr>
                <w:ilvl w:val="0"/>
                <w:numId w:val="6"/>
              </w:numPr>
              <w:rPr>
                <w:sz w:val="20"/>
                <w:szCs w:val="20"/>
              </w:rPr>
            </w:pPr>
            <w:r w:rsidRPr="003170AA">
              <w:rPr>
                <w:sz w:val="20"/>
                <w:szCs w:val="20"/>
              </w:rPr>
              <w:t>Dunsky Energy Consulting</w:t>
            </w:r>
          </w:p>
          <w:p w14:paraId="4820A79C" w14:textId="77777777" w:rsidR="003170AA" w:rsidRPr="003170AA" w:rsidRDefault="003170AA" w:rsidP="003170AA">
            <w:pPr>
              <w:pStyle w:val="ListParagraph"/>
              <w:numPr>
                <w:ilvl w:val="0"/>
                <w:numId w:val="6"/>
              </w:numPr>
              <w:rPr>
                <w:sz w:val="20"/>
                <w:szCs w:val="20"/>
              </w:rPr>
            </w:pPr>
            <w:r w:rsidRPr="003170AA">
              <w:rPr>
                <w:sz w:val="20"/>
                <w:szCs w:val="20"/>
              </w:rPr>
              <w:t>EMI Consulting (with PWP, Inc.)</w:t>
            </w:r>
          </w:p>
          <w:p w14:paraId="27CAED9B" w14:textId="77777777" w:rsidR="003170AA" w:rsidRPr="003170AA" w:rsidRDefault="003170AA" w:rsidP="003170AA">
            <w:pPr>
              <w:pStyle w:val="ListParagraph"/>
              <w:numPr>
                <w:ilvl w:val="0"/>
                <w:numId w:val="6"/>
              </w:numPr>
              <w:rPr>
                <w:sz w:val="20"/>
                <w:szCs w:val="20"/>
              </w:rPr>
            </w:pPr>
            <w:r w:rsidRPr="003170AA">
              <w:rPr>
                <w:sz w:val="20"/>
                <w:szCs w:val="20"/>
              </w:rPr>
              <w:t>ERS (with Iec, Westhill, Ridgeline, and EcoMetric)</w:t>
            </w:r>
          </w:p>
          <w:p w14:paraId="2F0A164C" w14:textId="77777777" w:rsidR="003170AA" w:rsidRPr="003170AA" w:rsidRDefault="003170AA" w:rsidP="003170AA">
            <w:pPr>
              <w:pStyle w:val="ListParagraph"/>
              <w:numPr>
                <w:ilvl w:val="0"/>
                <w:numId w:val="6"/>
              </w:numPr>
              <w:rPr>
                <w:sz w:val="20"/>
                <w:szCs w:val="20"/>
              </w:rPr>
            </w:pPr>
            <w:r w:rsidRPr="003170AA">
              <w:rPr>
                <w:sz w:val="20"/>
                <w:szCs w:val="20"/>
              </w:rPr>
              <w:t>Evergreen Economics (with Michaels Energy)</w:t>
            </w:r>
          </w:p>
          <w:p w14:paraId="310623EC" w14:textId="77777777" w:rsidR="003170AA" w:rsidRPr="003170AA" w:rsidRDefault="003170AA" w:rsidP="003170AA">
            <w:pPr>
              <w:pStyle w:val="ListParagraph"/>
              <w:numPr>
                <w:ilvl w:val="0"/>
                <w:numId w:val="6"/>
              </w:numPr>
              <w:rPr>
                <w:sz w:val="20"/>
                <w:szCs w:val="20"/>
              </w:rPr>
            </w:pPr>
            <w:r w:rsidRPr="003170AA">
              <w:rPr>
                <w:sz w:val="20"/>
                <w:szCs w:val="20"/>
              </w:rPr>
              <w:t>Grounded Research &amp; Consulting (with Convergence Data Analytics)</w:t>
            </w:r>
          </w:p>
          <w:p w14:paraId="539CE50E" w14:textId="77777777" w:rsidR="003170AA" w:rsidRPr="003170AA" w:rsidRDefault="003170AA" w:rsidP="003170AA">
            <w:pPr>
              <w:pStyle w:val="ListParagraph"/>
              <w:numPr>
                <w:ilvl w:val="0"/>
                <w:numId w:val="6"/>
              </w:numPr>
              <w:rPr>
                <w:sz w:val="20"/>
                <w:szCs w:val="20"/>
              </w:rPr>
            </w:pPr>
            <w:r w:rsidRPr="003170AA">
              <w:rPr>
                <w:sz w:val="20"/>
                <w:szCs w:val="20"/>
              </w:rPr>
              <w:t>Illume Advising LLC</w:t>
            </w:r>
          </w:p>
          <w:p w14:paraId="450C3F80" w14:textId="77777777" w:rsidR="003170AA" w:rsidRPr="003170AA" w:rsidRDefault="003170AA" w:rsidP="003170AA">
            <w:pPr>
              <w:pStyle w:val="ListParagraph"/>
              <w:numPr>
                <w:ilvl w:val="0"/>
                <w:numId w:val="6"/>
              </w:numPr>
              <w:rPr>
                <w:sz w:val="20"/>
                <w:szCs w:val="20"/>
              </w:rPr>
            </w:pPr>
            <w:r w:rsidRPr="003170AA">
              <w:rPr>
                <w:sz w:val="20"/>
                <w:szCs w:val="20"/>
              </w:rPr>
              <w:t>Michaels Energy (with Evergreen Econ)</w:t>
            </w:r>
          </w:p>
          <w:p w14:paraId="01ECDD2F" w14:textId="77777777" w:rsidR="003170AA" w:rsidRPr="003170AA" w:rsidRDefault="003170AA" w:rsidP="003170AA">
            <w:pPr>
              <w:pStyle w:val="ListParagraph"/>
              <w:numPr>
                <w:ilvl w:val="0"/>
                <w:numId w:val="6"/>
              </w:numPr>
              <w:rPr>
                <w:sz w:val="20"/>
                <w:szCs w:val="20"/>
              </w:rPr>
            </w:pPr>
            <w:r w:rsidRPr="003170AA">
              <w:rPr>
                <w:sz w:val="20"/>
                <w:szCs w:val="20"/>
              </w:rPr>
              <w:t>Navigant Consulting Inc.</w:t>
            </w:r>
          </w:p>
          <w:p w14:paraId="218561DA" w14:textId="77777777" w:rsidR="003170AA" w:rsidRPr="003170AA" w:rsidRDefault="003170AA" w:rsidP="003170AA">
            <w:pPr>
              <w:pStyle w:val="ListParagraph"/>
              <w:numPr>
                <w:ilvl w:val="0"/>
                <w:numId w:val="6"/>
              </w:numPr>
              <w:rPr>
                <w:sz w:val="20"/>
                <w:szCs w:val="20"/>
              </w:rPr>
            </w:pPr>
            <w:r w:rsidRPr="003170AA">
              <w:rPr>
                <w:sz w:val="20"/>
                <w:szCs w:val="20"/>
              </w:rPr>
              <w:t>NMR (with DNV, Brightline, Cadeo, Demand Mgmt Institute, Demand Side Analytics)</w:t>
            </w:r>
          </w:p>
          <w:p w14:paraId="1507AD0F" w14:textId="77777777" w:rsidR="003170AA" w:rsidRPr="003170AA" w:rsidRDefault="003170AA" w:rsidP="003170AA">
            <w:pPr>
              <w:pStyle w:val="ListParagraph"/>
              <w:numPr>
                <w:ilvl w:val="0"/>
                <w:numId w:val="6"/>
              </w:numPr>
              <w:rPr>
                <w:sz w:val="20"/>
                <w:szCs w:val="20"/>
              </w:rPr>
            </w:pPr>
            <w:r w:rsidRPr="003170AA">
              <w:rPr>
                <w:sz w:val="20"/>
                <w:szCs w:val="20"/>
              </w:rPr>
              <w:t>Opinion Dynamics</w:t>
            </w:r>
          </w:p>
          <w:p w14:paraId="6286C927" w14:textId="77777777" w:rsidR="003170AA" w:rsidRPr="003170AA" w:rsidRDefault="003170AA" w:rsidP="003170AA">
            <w:pPr>
              <w:pStyle w:val="ListParagraph"/>
              <w:numPr>
                <w:ilvl w:val="0"/>
                <w:numId w:val="6"/>
              </w:numPr>
              <w:rPr>
                <w:sz w:val="20"/>
                <w:szCs w:val="20"/>
              </w:rPr>
            </w:pPr>
            <w:r w:rsidRPr="003170AA">
              <w:rPr>
                <w:sz w:val="20"/>
                <w:szCs w:val="20"/>
              </w:rPr>
              <w:t>SCS Analytics</w:t>
            </w:r>
          </w:p>
          <w:p w14:paraId="67DFB98D" w14:textId="77777777" w:rsidR="003170AA" w:rsidRPr="003170AA" w:rsidRDefault="003170AA" w:rsidP="003170AA">
            <w:pPr>
              <w:pStyle w:val="ListParagraph"/>
              <w:numPr>
                <w:ilvl w:val="0"/>
                <w:numId w:val="6"/>
              </w:numPr>
              <w:rPr>
                <w:sz w:val="20"/>
                <w:szCs w:val="20"/>
              </w:rPr>
            </w:pPr>
            <w:r w:rsidRPr="003170AA">
              <w:rPr>
                <w:sz w:val="20"/>
                <w:szCs w:val="20"/>
              </w:rPr>
              <w:t>TRC Engineers (with Karpman, Klos)</w:t>
            </w:r>
          </w:p>
        </w:tc>
        <w:tc>
          <w:tcPr>
            <w:tcW w:w="2970" w:type="dxa"/>
          </w:tcPr>
          <w:p w14:paraId="63371FE0" w14:textId="77777777" w:rsidR="003170AA" w:rsidRPr="003170AA" w:rsidRDefault="003170AA" w:rsidP="003170AA">
            <w:pPr>
              <w:pStyle w:val="ListParagraph"/>
              <w:numPr>
                <w:ilvl w:val="0"/>
                <w:numId w:val="7"/>
              </w:numPr>
              <w:rPr>
                <w:sz w:val="20"/>
                <w:szCs w:val="20"/>
              </w:rPr>
            </w:pPr>
            <w:r w:rsidRPr="003170AA">
              <w:rPr>
                <w:sz w:val="20"/>
                <w:szCs w:val="20"/>
              </w:rPr>
              <w:t>ERS (with Iec, Westhill, Ridgeline, and EcoMetric)</w:t>
            </w:r>
          </w:p>
          <w:p w14:paraId="54CEBCAD" w14:textId="77777777" w:rsidR="003170AA" w:rsidRPr="003170AA" w:rsidRDefault="003170AA" w:rsidP="003170AA">
            <w:pPr>
              <w:pStyle w:val="ListParagraph"/>
              <w:numPr>
                <w:ilvl w:val="0"/>
                <w:numId w:val="7"/>
              </w:numPr>
              <w:rPr>
                <w:sz w:val="20"/>
                <w:szCs w:val="20"/>
              </w:rPr>
            </w:pPr>
            <w:r w:rsidRPr="003170AA">
              <w:rPr>
                <w:sz w:val="20"/>
                <w:szCs w:val="20"/>
              </w:rPr>
              <w:t>Grounded Research &amp; Consulting (with Convergence Data Analytics)</w:t>
            </w:r>
          </w:p>
          <w:p w14:paraId="1A2923B3" w14:textId="77777777" w:rsidR="003170AA" w:rsidRPr="003170AA" w:rsidRDefault="003170AA" w:rsidP="003170AA">
            <w:pPr>
              <w:pStyle w:val="ListParagraph"/>
              <w:numPr>
                <w:ilvl w:val="0"/>
                <w:numId w:val="7"/>
              </w:numPr>
              <w:rPr>
                <w:sz w:val="20"/>
                <w:szCs w:val="20"/>
              </w:rPr>
            </w:pPr>
            <w:r w:rsidRPr="003170AA">
              <w:rPr>
                <w:sz w:val="20"/>
                <w:szCs w:val="20"/>
              </w:rPr>
              <w:t>Illume Advising LLC</w:t>
            </w:r>
          </w:p>
          <w:p w14:paraId="374B3E41" w14:textId="77777777" w:rsidR="003170AA" w:rsidRPr="003170AA" w:rsidRDefault="003170AA" w:rsidP="003170AA">
            <w:pPr>
              <w:pStyle w:val="ListParagraph"/>
              <w:numPr>
                <w:ilvl w:val="0"/>
                <w:numId w:val="7"/>
              </w:numPr>
              <w:rPr>
                <w:sz w:val="20"/>
                <w:szCs w:val="20"/>
              </w:rPr>
            </w:pPr>
            <w:r w:rsidRPr="003170AA">
              <w:rPr>
                <w:sz w:val="20"/>
                <w:szCs w:val="20"/>
              </w:rPr>
              <w:t>Michaels Energy (with Evergreen Econ)</w:t>
            </w:r>
          </w:p>
          <w:p w14:paraId="5CA00E3E" w14:textId="77777777" w:rsidR="003170AA" w:rsidRPr="003170AA" w:rsidRDefault="003170AA" w:rsidP="003170AA">
            <w:pPr>
              <w:pStyle w:val="ListParagraph"/>
              <w:numPr>
                <w:ilvl w:val="0"/>
                <w:numId w:val="7"/>
              </w:numPr>
              <w:rPr>
                <w:sz w:val="20"/>
                <w:szCs w:val="20"/>
              </w:rPr>
            </w:pPr>
            <w:r w:rsidRPr="003170AA">
              <w:rPr>
                <w:sz w:val="20"/>
                <w:szCs w:val="20"/>
              </w:rPr>
              <w:t>Navigant Consulting Inc.</w:t>
            </w:r>
          </w:p>
          <w:p w14:paraId="11005927" w14:textId="77777777" w:rsidR="003170AA" w:rsidRPr="003170AA" w:rsidRDefault="003170AA" w:rsidP="003170AA">
            <w:pPr>
              <w:pStyle w:val="ListParagraph"/>
              <w:numPr>
                <w:ilvl w:val="0"/>
                <w:numId w:val="7"/>
              </w:numPr>
              <w:rPr>
                <w:sz w:val="20"/>
                <w:szCs w:val="20"/>
              </w:rPr>
            </w:pPr>
            <w:r w:rsidRPr="003170AA">
              <w:rPr>
                <w:sz w:val="20"/>
                <w:szCs w:val="20"/>
              </w:rPr>
              <w:t>NMR (with DNV, Brightline, Cadeo, Demand Mgmt Institute, Demand Side Analytics)</w:t>
            </w:r>
          </w:p>
          <w:p w14:paraId="5568D5B5" w14:textId="77777777" w:rsidR="003170AA" w:rsidRPr="003170AA" w:rsidRDefault="003170AA" w:rsidP="003170AA">
            <w:pPr>
              <w:pStyle w:val="ListParagraph"/>
              <w:numPr>
                <w:ilvl w:val="0"/>
                <w:numId w:val="7"/>
              </w:numPr>
              <w:rPr>
                <w:sz w:val="20"/>
                <w:szCs w:val="20"/>
              </w:rPr>
            </w:pPr>
            <w:r w:rsidRPr="003170AA">
              <w:rPr>
                <w:sz w:val="20"/>
                <w:szCs w:val="20"/>
              </w:rPr>
              <w:t>Opinion Dynamics</w:t>
            </w:r>
          </w:p>
          <w:p w14:paraId="31DB5580" w14:textId="77777777" w:rsidR="003170AA" w:rsidRPr="003170AA" w:rsidRDefault="003170AA" w:rsidP="003170AA">
            <w:pPr>
              <w:pStyle w:val="ListParagraph"/>
              <w:numPr>
                <w:ilvl w:val="0"/>
                <w:numId w:val="7"/>
              </w:numPr>
              <w:rPr>
                <w:sz w:val="20"/>
                <w:szCs w:val="20"/>
              </w:rPr>
            </w:pPr>
            <w:r w:rsidRPr="003170AA">
              <w:rPr>
                <w:sz w:val="20"/>
                <w:szCs w:val="20"/>
              </w:rPr>
              <w:t>TRC Engineers (with Karpman, Klos)</w:t>
            </w:r>
          </w:p>
        </w:tc>
        <w:tc>
          <w:tcPr>
            <w:tcW w:w="2695" w:type="dxa"/>
          </w:tcPr>
          <w:p w14:paraId="466BD3AF" w14:textId="77777777" w:rsidR="003170AA" w:rsidRPr="003170AA" w:rsidRDefault="003170AA" w:rsidP="003170AA">
            <w:pPr>
              <w:pStyle w:val="ListParagraph"/>
              <w:numPr>
                <w:ilvl w:val="0"/>
                <w:numId w:val="8"/>
              </w:numPr>
              <w:rPr>
                <w:sz w:val="20"/>
                <w:szCs w:val="20"/>
              </w:rPr>
            </w:pPr>
            <w:r w:rsidRPr="003170AA">
              <w:rPr>
                <w:sz w:val="20"/>
                <w:szCs w:val="20"/>
              </w:rPr>
              <w:t xml:space="preserve">Blackstone Group/ Data Prompt International </w:t>
            </w:r>
          </w:p>
          <w:p w14:paraId="31A4C5A7" w14:textId="77777777" w:rsidR="003170AA" w:rsidRPr="003170AA" w:rsidRDefault="003170AA" w:rsidP="003170AA">
            <w:pPr>
              <w:pStyle w:val="ListParagraph"/>
              <w:numPr>
                <w:ilvl w:val="0"/>
                <w:numId w:val="8"/>
              </w:numPr>
              <w:rPr>
                <w:sz w:val="20"/>
                <w:szCs w:val="20"/>
              </w:rPr>
            </w:pPr>
            <w:r w:rsidRPr="003170AA">
              <w:rPr>
                <w:sz w:val="20"/>
                <w:szCs w:val="20"/>
              </w:rPr>
              <w:t>Corona Insights</w:t>
            </w:r>
          </w:p>
        </w:tc>
      </w:tr>
    </w:tbl>
    <w:p w14:paraId="322337B3" w14:textId="3163C76D" w:rsidR="006A731B" w:rsidRDefault="006A731B" w:rsidP="001A1983">
      <w:pPr>
        <w:rPr>
          <w:color w:val="FF0000"/>
        </w:rPr>
      </w:pPr>
    </w:p>
    <w:p w14:paraId="5BA51FC9" w14:textId="77777777" w:rsidR="002E2245" w:rsidRDefault="002E2245" w:rsidP="002E2245">
      <w:pPr>
        <w:rPr>
          <w:b/>
          <w:bCs/>
        </w:rPr>
      </w:pPr>
      <w:r>
        <w:rPr>
          <w:b/>
          <w:bCs/>
        </w:rPr>
        <w:t xml:space="preserve">REQUESTED ACTION:  </w:t>
      </w:r>
      <w:r w:rsidRPr="003170AA">
        <w:rPr>
          <w:b/>
          <w:bCs/>
        </w:rPr>
        <w:t>We request the Evaluation Committee to endorse these pools of eligible bidders to be used in our RFP processes for 2020/2021.</w:t>
      </w:r>
    </w:p>
    <w:p w14:paraId="5BE67A6F" w14:textId="33F3EC5C" w:rsidR="002E2245" w:rsidRDefault="002E2245" w:rsidP="001A1983">
      <w:pPr>
        <w:rPr>
          <w:color w:val="FF0000"/>
        </w:rPr>
      </w:pPr>
    </w:p>
    <w:p w14:paraId="2FBF5ED0" w14:textId="77777777" w:rsidR="002E2245" w:rsidRDefault="002E2245" w:rsidP="001A1983">
      <w:pPr>
        <w:rPr>
          <w:color w:val="FF0000"/>
        </w:rPr>
      </w:pPr>
    </w:p>
    <w:sectPr w:rsidR="002E224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9FA12F" w14:textId="77777777" w:rsidR="00AD35E7" w:rsidRDefault="00AD35E7" w:rsidP="007C1B40">
      <w:pPr>
        <w:spacing w:after="0" w:line="240" w:lineRule="auto"/>
      </w:pPr>
      <w:r>
        <w:separator/>
      </w:r>
    </w:p>
  </w:endnote>
  <w:endnote w:type="continuationSeparator" w:id="0">
    <w:p w14:paraId="4E62896F" w14:textId="77777777" w:rsidR="00AD35E7" w:rsidRDefault="00AD35E7" w:rsidP="007C1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6176572"/>
      <w:docPartObj>
        <w:docPartGallery w:val="Page Numbers (Bottom of Page)"/>
        <w:docPartUnique/>
      </w:docPartObj>
    </w:sdtPr>
    <w:sdtEndPr>
      <w:rPr>
        <w:color w:val="7F7F7F" w:themeColor="background1" w:themeShade="7F"/>
        <w:spacing w:val="60"/>
      </w:rPr>
    </w:sdtEndPr>
    <w:sdtContent>
      <w:p w14:paraId="543433E7" w14:textId="77777777" w:rsidR="007C1B40" w:rsidRDefault="007C1B40">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   EA Team memo to CT EEB Evaluation Committee</w:t>
        </w:r>
      </w:p>
    </w:sdtContent>
  </w:sdt>
  <w:p w14:paraId="71B80BDE" w14:textId="77777777" w:rsidR="007C1B40" w:rsidRDefault="007C1B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CD5D9" w14:textId="77777777" w:rsidR="00AD35E7" w:rsidRDefault="00AD35E7" w:rsidP="007C1B40">
      <w:pPr>
        <w:spacing w:after="0" w:line="240" w:lineRule="auto"/>
      </w:pPr>
      <w:r>
        <w:separator/>
      </w:r>
    </w:p>
  </w:footnote>
  <w:footnote w:type="continuationSeparator" w:id="0">
    <w:p w14:paraId="31E51F5E" w14:textId="77777777" w:rsidR="00AD35E7" w:rsidRDefault="00AD35E7" w:rsidP="007C1B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A65E3"/>
    <w:multiLevelType w:val="hybridMultilevel"/>
    <w:tmpl w:val="28B04B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AD6D42"/>
    <w:multiLevelType w:val="hybridMultilevel"/>
    <w:tmpl w:val="AF664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DB772C"/>
    <w:multiLevelType w:val="hybridMultilevel"/>
    <w:tmpl w:val="2FF2E0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D2F6258"/>
    <w:multiLevelType w:val="hybridMultilevel"/>
    <w:tmpl w:val="45461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2816B6"/>
    <w:multiLevelType w:val="hybridMultilevel"/>
    <w:tmpl w:val="16A63B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417DF3"/>
    <w:multiLevelType w:val="hybridMultilevel"/>
    <w:tmpl w:val="71764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3A7154"/>
    <w:multiLevelType w:val="hybridMultilevel"/>
    <w:tmpl w:val="0100B7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A894C9F"/>
    <w:multiLevelType w:val="hybridMultilevel"/>
    <w:tmpl w:val="5F187B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4"/>
  </w:num>
  <w:num w:numId="3">
    <w:abstractNumId w:val="5"/>
  </w:num>
  <w:num w:numId="4">
    <w:abstractNumId w:val="3"/>
  </w:num>
  <w:num w:numId="5">
    <w:abstractNumId w:val="0"/>
  </w:num>
  <w:num w:numId="6">
    <w:abstractNumId w:val="6"/>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2D4"/>
    <w:rsid w:val="0015427E"/>
    <w:rsid w:val="001A1983"/>
    <w:rsid w:val="001F0399"/>
    <w:rsid w:val="002E2245"/>
    <w:rsid w:val="003170AA"/>
    <w:rsid w:val="003A1747"/>
    <w:rsid w:val="003B6D29"/>
    <w:rsid w:val="00457E5E"/>
    <w:rsid w:val="00554895"/>
    <w:rsid w:val="006A731B"/>
    <w:rsid w:val="006D2CE9"/>
    <w:rsid w:val="007C1B40"/>
    <w:rsid w:val="009A42D4"/>
    <w:rsid w:val="00AD35E7"/>
    <w:rsid w:val="00C740BC"/>
    <w:rsid w:val="00E620C4"/>
    <w:rsid w:val="00FD7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4FC8B"/>
  <w15:chartTrackingRefBased/>
  <w15:docId w15:val="{5889A884-C0A4-4933-815A-66B6168E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42D4"/>
    <w:pPr>
      <w:ind w:left="720"/>
      <w:contextualSpacing/>
    </w:pPr>
  </w:style>
  <w:style w:type="paragraph" w:styleId="Header">
    <w:name w:val="header"/>
    <w:basedOn w:val="Normal"/>
    <w:link w:val="HeaderChar"/>
    <w:uiPriority w:val="99"/>
    <w:unhideWhenUsed/>
    <w:rsid w:val="007C1B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1B40"/>
  </w:style>
  <w:style w:type="paragraph" w:styleId="Footer">
    <w:name w:val="footer"/>
    <w:basedOn w:val="Normal"/>
    <w:link w:val="FooterChar"/>
    <w:uiPriority w:val="99"/>
    <w:unhideWhenUsed/>
    <w:rsid w:val="007C1B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1B40"/>
  </w:style>
  <w:style w:type="table" w:styleId="TableGrid">
    <w:name w:val="Table Grid"/>
    <w:basedOn w:val="TableNormal"/>
    <w:uiPriority w:val="39"/>
    <w:rsid w:val="00317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941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3437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Skumatz</dc:creator>
  <cp:keywords/>
  <dc:description/>
  <cp:lastModifiedBy>Craig Diamond</cp:lastModifiedBy>
  <cp:revision>2</cp:revision>
  <dcterms:created xsi:type="dcterms:W3CDTF">2019-10-07T13:05:00Z</dcterms:created>
  <dcterms:modified xsi:type="dcterms:W3CDTF">2019-10-07T13:05:00Z</dcterms:modified>
</cp:coreProperties>
</file>