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34C31" w14:textId="1955085C" w:rsidR="00C71BAB" w:rsidRDefault="00E0231B" w:rsidP="002B7934">
      <w:pPr>
        <w:jc w:val="center"/>
        <w:rPr>
          <w:b/>
          <w:bCs/>
        </w:rPr>
      </w:pPr>
      <w:bookmarkStart w:id="0" w:name="_GoBack"/>
      <w:bookmarkEnd w:id="0"/>
      <w:r>
        <w:rPr>
          <w:b/>
          <w:bCs/>
        </w:rPr>
        <w:t xml:space="preserve">Supporting Information for </w:t>
      </w:r>
      <w:r w:rsidR="002B7934" w:rsidRPr="002B7934">
        <w:rPr>
          <w:b/>
          <w:bCs/>
        </w:rPr>
        <w:t xml:space="preserve">Items </w:t>
      </w:r>
      <w:r>
        <w:rPr>
          <w:b/>
          <w:bCs/>
        </w:rPr>
        <w:t xml:space="preserve">in </w:t>
      </w:r>
      <w:r w:rsidR="00D97293">
        <w:rPr>
          <w:b/>
          <w:bCs/>
        </w:rPr>
        <w:t>October</w:t>
      </w:r>
      <w:r w:rsidR="002B7934" w:rsidRPr="002B7934">
        <w:rPr>
          <w:b/>
          <w:bCs/>
        </w:rPr>
        <w:t xml:space="preserve"> 2019 Evaluation Committee Meeting</w:t>
      </w:r>
      <w:r>
        <w:rPr>
          <w:b/>
          <w:bCs/>
        </w:rPr>
        <w:t xml:space="preserve"> Agenda</w:t>
      </w:r>
      <w:r w:rsidR="00A0623E">
        <w:rPr>
          <w:b/>
          <w:bCs/>
        </w:rPr>
        <w:t xml:space="preserve"> – will be walked through during meeting</w:t>
      </w:r>
      <w:r w:rsidR="00944F56">
        <w:rPr>
          <w:b/>
          <w:bCs/>
        </w:rPr>
        <w:t xml:space="preserve"> – </w:t>
      </w:r>
      <w:r w:rsidR="00944F56" w:rsidRPr="00944F56">
        <w:rPr>
          <w:b/>
          <w:bCs/>
          <w:u w:val="single"/>
        </w:rPr>
        <w:t>you do NOT have to read this prior to the meeting</w:t>
      </w:r>
      <w:r w:rsidR="00944F56">
        <w:rPr>
          <w:b/>
          <w:bCs/>
        </w:rPr>
        <w:t>.</w:t>
      </w:r>
    </w:p>
    <w:p w14:paraId="6D4EE861" w14:textId="226AF523" w:rsidR="009B2922" w:rsidRPr="002B7934" w:rsidRDefault="009B2922" w:rsidP="002B7934">
      <w:pPr>
        <w:jc w:val="center"/>
        <w:rPr>
          <w:b/>
          <w:bCs/>
        </w:rPr>
      </w:pPr>
      <w:r>
        <w:rPr>
          <w:b/>
          <w:bCs/>
        </w:rPr>
        <w:t>10/7/19</w:t>
      </w:r>
      <w:r w:rsidR="00E142ED">
        <w:rPr>
          <w:b/>
          <w:bCs/>
        </w:rPr>
        <w:t xml:space="preserve"> – from EA Team</w:t>
      </w:r>
    </w:p>
    <w:p w14:paraId="0C6D1F49" w14:textId="5155F96D" w:rsidR="002B7934" w:rsidRDefault="002B7934"/>
    <w:p w14:paraId="6A4EB67E" w14:textId="77777777" w:rsidR="002B7934" w:rsidRDefault="002B7934"/>
    <w:p w14:paraId="7C023A02" w14:textId="78330B0A" w:rsidR="00C71BAB" w:rsidRPr="00495E44" w:rsidRDefault="00EE29BC" w:rsidP="00C71BAB">
      <w:pPr>
        <w:rPr>
          <w:rFonts w:asciiTheme="minorHAnsi" w:hAnsiTheme="minorHAnsi" w:cstheme="minorHAnsi"/>
          <w:b/>
          <w:bCs/>
          <w:color w:val="2F5496" w:themeColor="accent1" w:themeShade="BF"/>
          <w:sz w:val="22"/>
          <w:szCs w:val="22"/>
        </w:rPr>
      </w:pPr>
      <w:r w:rsidRPr="00495E44">
        <w:rPr>
          <w:rFonts w:asciiTheme="minorHAnsi" w:hAnsiTheme="minorHAnsi" w:cstheme="minorHAnsi"/>
          <w:b/>
          <w:bCs/>
          <w:color w:val="2F5496" w:themeColor="accent1" w:themeShade="BF"/>
          <w:sz w:val="22"/>
          <w:szCs w:val="22"/>
          <w:u w:val="single"/>
        </w:rPr>
        <w:t xml:space="preserve">Item </w:t>
      </w:r>
      <w:r w:rsidR="0099578D">
        <w:rPr>
          <w:rFonts w:asciiTheme="minorHAnsi" w:hAnsiTheme="minorHAnsi" w:cstheme="minorHAnsi"/>
          <w:b/>
          <w:bCs/>
          <w:color w:val="2F5496" w:themeColor="accent1" w:themeShade="BF"/>
          <w:sz w:val="22"/>
          <w:szCs w:val="22"/>
          <w:u w:val="single"/>
        </w:rPr>
        <w:t>3b</w:t>
      </w:r>
      <w:r w:rsidRPr="00495E44">
        <w:rPr>
          <w:rFonts w:asciiTheme="minorHAnsi" w:hAnsiTheme="minorHAnsi" w:cstheme="minorHAnsi"/>
          <w:b/>
          <w:bCs/>
          <w:color w:val="2F5496" w:themeColor="accent1" w:themeShade="BF"/>
          <w:sz w:val="22"/>
          <w:szCs w:val="22"/>
        </w:rPr>
        <w:t xml:space="preserve">:  </w:t>
      </w:r>
      <w:r w:rsidR="00C71BAB" w:rsidRPr="00495E44">
        <w:rPr>
          <w:rFonts w:asciiTheme="minorHAnsi" w:hAnsiTheme="minorHAnsi" w:cstheme="minorHAnsi"/>
          <w:b/>
          <w:bCs/>
          <w:color w:val="2F5496" w:themeColor="accent1" w:themeShade="BF"/>
          <w:sz w:val="22"/>
          <w:szCs w:val="22"/>
        </w:rPr>
        <w:t>C1644 Request for additional funds – preliminary info to committee / no action today:</w:t>
      </w:r>
    </w:p>
    <w:p w14:paraId="32BEACB0" w14:textId="77777777" w:rsidR="00C71BAB" w:rsidRPr="00495E44" w:rsidRDefault="00C71BAB" w:rsidP="00C71BAB">
      <w:pPr>
        <w:rPr>
          <w:rFonts w:asciiTheme="minorHAnsi" w:hAnsiTheme="minorHAnsi" w:cstheme="minorHAnsi"/>
          <w:sz w:val="22"/>
          <w:szCs w:val="22"/>
        </w:rPr>
      </w:pPr>
    </w:p>
    <w:p w14:paraId="250BA978" w14:textId="11E347DC" w:rsidR="00C71BAB" w:rsidRPr="00495E44" w:rsidRDefault="00C71BAB" w:rsidP="00C71BAB">
      <w:pPr>
        <w:rPr>
          <w:rFonts w:asciiTheme="minorHAnsi" w:hAnsiTheme="minorHAnsi" w:cstheme="minorHAnsi"/>
          <w:sz w:val="22"/>
          <w:szCs w:val="22"/>
        </w:rPr>
      </w:pPr>
      <w:r w:rsidRPr="00495E44">
        <w:rPr>
          <w:rFonts w:asciiTheme="minorHAnsi" w:hAnsiTheme="minorHAnsi" w:cstheme="minorHAnsi"/>
          <w:sz w:val="22"/>
          <w:szCs w:val="22"/>
        </w:rPr>
        <w:t xml:space="preserve">EMI has requested an additional $10,000 in funding for the CT EO 1644 NTG study.  You will recall we had to enlist the utilities to step in with additional help and contacts in trying to reach reasonable response rates for the target interviews (much appreciated).  While the project did not go perfectly (some staff turnover, etc.) they stepped up and provided more senior / expensive staff when the project reached critical problems in getting responses.  Some of the elements that led to higher costs included: </w:t>
      </w:r>
    </w:p>
    <w:p w14:paraId="2CFFFD6F" w14:textId="63E4DBCC" w:rsidR="00C71BAB" w:rsidRPr="00495E44" w:rsidRDefault="00C71BAB" w:rsidP="00C71BAB">
      <w:pPr>
        <w:rPr>
          <w:rFonts w:asciiTheme="minorHAnsi" w:hAnsiTheme="minorHAnsi" w:cstheme="minorHAnsi"/>
          <w:sz w:val="22"/>
          <w:szCs w:val="22"/>
        </w:rPr>
      </w:pPr>
      <w:r w:rsidRPr="00495E44">
        <w:rPr>
          <w:rFonts w:asciiTheme="minorHAnsi" w:hAnsiTheme="minorHAnsi" w:cstheme="minorHAnsi"/>
          <w:sz w:val="22"/>
          <w:szCs w:val="22"/>
        </w:rPr>
        <w:t>increasing customer incentive higher than budgeted to get responses, time with the utilities asking for data/contact info, messier data than they thought (5 years after their last CT C&amp;I project and they expected improved tracking system), etc.  This request is approximately 5% of the project budget. Their justification for the specific extra costs are outlined below:</w:t>
      </w:r>
    </w:p>
    <w:p w14:paraId="46DC8C01" w14:textId="77777777" w:rsidR="00C71BAB" w:rsidRPr="00495E44" w:rsidRDefault="00C71BAB" w:rsidP="00C71BAB">
      <w:pPr>
        <w:numPr>
          <w:ilvl w:val="0"/>
          <w:numId w:val="1"/>
        </w:numPr>
        <w:rPr>
          <w:rFonts w:asciiTheme="minorHAnsi" w:eastAsia="Times New Roman" w:hAnsiTheme="minorHAnsi" w:cstheme="minorHAnsi"/>
          <w:color w:val="000000"/>
          <w:sz w:val="22"/>
          <w:szCs w:val="22"/>
        </w:rPr>
      </w:pPr>
      <w:r w:rsidRPr="00495E44">
        <w:rPr>
          <w:rFonts w:asciiTheme="minorHAnsi" w:eastAsia="Times New Roman" w:hAnsiTheme="minorHAnsi" w:cstheme="minorHAnsi"/>
          <w:color w:val="000000"/>
          <w:sz w:val="22"/>
          <w:szCs w:val="22"/>
        </w:rPr>
        <w:t>$2,625 for increased incentives – 52 additional incentives at an incremental cost of $50 per interview plus a $25 processing fee.</w:t>
      </w:r>
    </w:p>
    <w:p w14:paraId="15F3D3AA" w14:textId="77777777" w:rsidR="00C71BAB" w:rsidRPr="00495E44" w:rsidRDefault="00C71BAB" w:rsidP="00C71BAB">
      <w:pPr>
        <w:numPr>
          <w:ilvl w:val="0"/>
          <w:numId w:val="1"/>
        </w:numPr>
        <w:rPr>
          <w:rFonts w:asciiTheme="minorHAnsi" w:eastAsia="Times New Roman" w:hAnsiTheme="minorHAnsi" w:cstheme="minorHAnsi"/>
          <w:color w:val="000000"/>
          <w:sz w:val="22"/>
          <w:szCs w:val="22"/>
        </w:rPr>
      </w:pPr>
      <w:r w:rsidRPr="00495E44">
        <w:rPr>
          <w:rFonts w:asciiTheme="minorHAnsi" w:eastAsia="Times New Roman" w:hAnsiTheme="minorHAnsi" w:cstheme="minorHAnsi"/>
          <w:color w:val="000000"/>
          <w:sz w:val="22"/>
          <w:szCs w:val="22"/>
        </w:rPr>
        <w:t>$1,000 for restarting CATI efforts – a flat fee charged by Blackstone given the pause between calling efforts to retrain interviewers.</w:t>
      </w:r>
    </w:p>
    <w:p w14:paraId="460BD74E" w14:textId="606D1F52" w:rsidR="00C71BAB" w:rsidRPr="00495E44" w:rsidRDefault="00C71BAB" w:rsidP="00C71BAB">
      <w:pPr>
        <w:numPr>
          <w:ilvl w:val="0"/>
          <w:numId w:val="1"/>
        </w:numPr>
        <w:rPr>
          <w:rFonts w:asciiTheme="minorHAnsi" w:eastAsia="Times New Roman" w:hAnsiTheme="minorHAnsi" w:cstheme="minorHAnsi"/>
          <w:color w:val="000000"/>
          <w:sz w:val="22"/>
          <w:szCs w:val="22"/>
        </w:rPr>
      </w:pPr>
      <w:r w:rsidRPr="00495E44">
        <w:rPr>
          <w:rFonts w:asciiTheme="minorHAnsi" w:eastAsia="Times New Roman" w:hAnsiTheme="minorHAnsi" w:cstheme="minorHAnsi"/>
          <w:color w:val="000000"/>
          <w:sz w:val="22"/>
          <w:szCs w:val="22"/>
        </w:rPr>
        <w:t xml:space="preserve">$6,375 for </w:t>
      </w:r>
      <w:r w:rsidR="002B7934" w:rsidRPr="00495E44">
        <w:rPr>
          <w:rFonts w:asciiTheme="minorHAnsi" w:eastAsia="Times New Roman" w:hAnsiTheme="minorHAnsi" w:cstheme="minorHAnsi"/>
          <w:color w:val="000000"/>
          <w:sz w:val="22"/>
          <w:szCs w:val="22"/>
        </w:rPr>
        <w:t xml:space="preserve">47 </w:t>
      </w:r>
      <w:r w:rsidRPr="00495E44">
        <w:rPr>
          <w:rFonts w:asciiTheme="minorHAnsi" w:eastAsia="Times New Roman" w:hAnsiTheme="minorHAnsi" w:cstheme="minorHAnsi"/>
          <w:color w:val="000000"/>
          <w:sz w:val="22"/>
          <w:szCs w:val="22"/>
        </w:rPr>
        <w:t xml:space="preserve">additional </w:t>
      </w:r>
      <w:r w:rsidR="002B7934" w:rsidRPr="00495E44">
        <w:rPr>
          <w:rFonts w:asciiTheme="minorHAnsi" w:eastAsia="Times New Roman" w:hAnsiTheme="minorHAnsi" w:cstheme="minorHAnsi"/>
          <w:color w:val="000000"/>
          <w:sz w:val="22"/>
          <w:szCs w:val="22"/>
        </w:rPr>
        <w:t xml:space="preserve">hours of </w:t>
      </w:r>
      <w:r w:rsidRPr="00495E44">
        <w:rPr>
          <w:rFonts w:asciiTheme="minorHAnsi" w:eastAsia="Times New Roman" w:hAnsiTheme="minorHAnsi" w:cstheme="minorHAnsi"/>
          <w:color w:val="000000"/>
          <w:sz w:val="22"/>
          <w:szCs w:val="22"/>
        </w:rPr>
        <w:t>effort for participant recruiting.</w:t>
      </w:r>
    </w:p>
    <w:p w14:paraId="4F4FAE2A" w14:textId="77777777" w:rsidR="00C71BAB" w:rsidRPr="00495E44" w:rsidRDefault="00C71BAB" w:rsidP="00C71BAB">
      <w:pPr>
        <w:rPr>
          <w:rFonts w:asciiTheme="minorHAnsi" w:hAnsiTheme="minorHAnsi" w:cstheme="minorHAnsi"/>
          <w:color w:val="000000"/>
          <w:sz w:val="22"/>
          <w:szCs w:val="22"/>
        </w:rPr>
      </w:pPr>
    </w:p>
    <w:p w14:paraId="3ED97180" w14:textId="688A234D" w:rsidR="00C71BAB" w:rsidRPr="00495E44" w:rsidRDefault="00C71BAB" w:rsidP="0054121C">
      <w:pPr>
        <w:ind w:left="360"/>
        <w:rPr>
          <w:rFonts w:asciiTheme="minorHAnsi" w:hAnsiTheme="minorHAnsi" w:cstheme="minorHAnsi"/>
          <w:sz w:val="22"/>
          <w:szCs w:val="22"/>
        </w:rPr>
      </w:pPr>
      <w:r w:rsidRPr="00495E44">
        <w:rPr>
          <w:rFonts w:asciiTheme="minorHAnsi" w:hAnsiTheme="minorHAnsi" w:cstheme="minorHAnsi"/>
          <w:b/>
          <w:bCs/>
          <w:sz w:val="22"/>
          <w:szCs w:val="22"/>
        </w:rPr>
        <w:t>EA Team Recommendation</w:t>
      </w:r>
      <w:r w:rsidR="0099578D">
        <w:rPr>
          <w:rFonts w:asciiTheme="minorHAnsi" w:hAnsiTheme="minorHAnsi" w:cstheme="minorHAnsi"/>
          <w:b/>
          <w:bCs/>
          <w:sz w:val="22"/>
          <w:szCs w:val="22"/>
        </w:rPr>
        <w:t xml:space="preserve"> last month (September)</w:t>
      </w:r>
      <w:r w:rsidRPr="00495E44">
        <w:rPr>
          <w:rFonts w:asciiTheme="minorHAnsi" w:hAnsiTheme="minorHAnsi" w:cstheme="minorHAnsi"/>
          <w:sz w:val="22"/>
          <w:szCs w:val="22"/>
        </w:rPr>
        <w:t>:  We recognize it is not policy to borrow between 3-year plans.  However, we may have funds available from R1603, depending on the committee’s discussion and selections regarding the “drill down/ phase 2” work for that project.  We will be discussing those options this month and will come to Committee in October’s meeting with our recommendation</w:t>
      </w:r>
      <w:r w:rsidR="002B7934" w:rsidRPr="00495E44">
        <w:rPr>
          <w:rFonts w:asciiTheme="minorHAnsi" w:hAnsiTheme="minorHAnsi" w:cstheme="minorHAnsi"/>
          <w:sz w:val="22"/>
          <w:szCs w:val="22"/>
        </w:rPr>
        <w:t xml:space="preserve"> on both R1603 and this project</w:t>
      </w:r>
      <w:r w:rsidRPr="00495E44">
        <w:rPr>
          <w:rFonts w:asciiTheme="minorHAnsi" w:hAnsiTheme="minorHAnsi" w:cstheme="minorHAnsi"/>
          <w:sz w:val="22"/>
          <w:szCs w:val="22"/>
        </w:rPr>
        <w:t>.</w:t>
      </w:r>
      <w:r w:rsidR="002B7934" w:rsidRPr="00495E44">
        <w:rPr>
          <w:rFonts w:asciiTheme="minorHAnsi" w:hAnsiTheme="minorHAnsi" w:cstheme="minorHAnsi"/>
          <w:sz w:val="22"/>
          <w:szCs w:val="22"/>
        </w:rPr>
        <w:t xml:space="preserve">  Request from Jacobson.</w:t>
      </w:r>
    </w:p>
    <w:p w14:paraId="6D279088" w14:textId="581619B0" w:rsidR="00C71BAB" w:rsidRPr="00495E44" w:rsidRDefault="0099578D" w:rsidP="0099578D">
      <w:pPr>
        <w:ind w:left="360"/>
        <w:rPr>
          <w:sz w:val="22"/>
          <w:szCs w:val="22"/>
        </w:rPr>
      </w:pPr>
      <w:r w:rsidRPr="00392142">
        <w:rPr>
          <w:b/>
          <w:bCs/>
          <w:color w:val="2F5496" w:themeColor="accent1" w:themeShade="BF"/>
          <w:sz w:val="22"/>
          <w:szCs w:val="22"/>
        </w:rPr>
        <w:t>Updated this month (October)</w:t>
      </w:r>
      <w:r w:rsidRPr="00392142">
        <w:rPr>
          <w:color w:val="2F5496" w:themeColor="accent1" w:themeShade="BF"/>
          <w:sz w:val="22"/>
          <w:szCs w:val="22"/>
        </w:rPr>
        <w:t xml:space="preserve">:  </w:t>
      </w:r>
      <w:r>
        <w:rPr>
          <w:sz w:val="22"/>
          <w:szCs w:val="22"/>
        </w:rPr>
        <w:t>R1603 discussions on extra analyses have been delayed (discussion later); action is delayed.  Funds may be available from R1603 (or possibly in association with 2019 Plan update, or possibly not).</w:t>
      </w:r>
    </w:p>
    <w:p w14:paraId="443B5D25" w14:textId="2097CE72" w:rsidR="00C71BAB" w:rsidRPr="00495E44" w:rsidRDefault="00C71BAB">
      <w:pPr>
        <w:rPr>
          <w:sz w:val="22"/>
          <w:szCs w:val="22"/>
        </w:rPr>
      </w:pPr>
    </w:p>
    <w:p w14:paraId="7AD7A302" w14:textId="095B611A" w:rsidR="002B7934" w:rsidRPr="00495E44" w:rsidRDefault="00EE29BC">
      <w:pPr>
        <w:rPr>
          <w:sz w:val="22"/>
          <w:szCs w:val="22"/>
        </w:rPr>
      </w:pPr>
      <w:r w:rsidRPr="00495E44">
        <w:rPr>
          <w:b/>
          <w:bCs/>
          <w:color w:val="2F5496" w:themeColor="accent1" w:themeShade="BF"/>
          <w:sz w:val="22"/>
          <w:szCs w:val="22"/>
          <w:u w:val="single"/>
        </w:rPr>
        <w:t xml:space="preserve">Item </w:t>
      </w:r>
      <w:r w:rsidR="0099578D">
        <w:rPr>
          <w:b/>
          <w:bCs/>
          <w:color w:val="2F5496" w:themeColor="accent1" w:themeShade="BF"/>
          <w:sz w:val="22"/>
          <w:szCs w:val="22"/>
          <w:u w:val="single"/>
        </w:rPr>
        <w:t>3b</w:t>
      </w:r>
      <w:r w:rsidRPr="00495E44">
        <w:rPr>
          <w:b/>
          <w:bCs/>
          <w:color w:val="2F5496" w:themeColor="accent1" w:themeShade="BF"/>
          <w:sz w:val="22"/>
          <w:szCs w:val="22"/>
        </w:rPr>
        <w:t xml:space="preserve">:  </w:t>
      </w:r>
      <w:r w:rsidR="0017229C" w:rsidRPr="00495E44">
        <w:rPr>
          <w:b/>
          <w:bCs/>
          <w:color w:val="2F5496" w:themeColor="accent1" w:themeShade="BF"/>
          <w:sz w:val="22"/>
          <w:szCs w:val="22"/>
        </w:rPr>
        <w:t xml:space="preserve">Information / </w:t>
      </w:r>
      <w:r w:rsidR="0054121C" w:rsidRPr="00495E44">
        <w:rPr>
          <w:b/>
          <w:bCs/>
          <w:color w:val="2F5496" w:themeColor="accent1" w:themeShade="BF"/>
          <w:sz w:val="22"/>
          <w:szCs w:val="22"/>
        </w:rPr>
        <w:t>Billing for C16</w:t>
      </w:r>
      <w:r w:rsidR="00495E44" w:rsidRPr="00495E44">
        <w:rPr>
          <w:b/>
          <w:bCs/>
          <w:color w:val="2F5496" w:themeColor="accent1" w:themeShade="BF"/>
          <w:sz w:val="22"/>
          <w:szCs w:val="22"/>
        </w:rPr>
        <w:t>3</w:t>
      </w:r>
      <w:r w:rsidR="0054121C" w:rsidRPr="00495E44">
        <w:rPr>
          <w:b/>
          <w:bCs/>
          <w:color w:val="2F5496" w:themeColor="accent1" w:themeShade="BF"/>
          <w:sz w:val="22"/>
          <w:szCs w:val="22"/>
        </w:rPr>
        <w:t>4</w:t>
      </w:r>
      <w:r w:rsidR="0054121C" w:rsidRPr="00495E44">
        <w:rPr>
          <w:sz w:val="22"/>
          <w:szCs w:val="22"/>
        </w:rPr>
        <w:t>:  The Evaluation Committee approved a project budget amendment months ago; however, the contract change for this for UI is stuck behind the 2019-2021 Evaluation Plan projects.  The invoicing for this is expected to go to Eversource first, with the percentages “caught up” at UI as soon as UI’s contract change is in place – the same as may be happening for early phases of the 2019-2021 projects.</w:t>
      </w:r>
      <w:r w:rsidR="00FA3F47" w:rsidRPr="00495E44">
        <w:rPr>
          <w:sz w:val="22"/>
          <w:szCs w:val="22"/>
        </w:rPr>
        <w:t xml:space="preserve">  (from Chiodo)</w:t>
      </w:r>
      <w:r w:rsidR="0099578D">
        <w:rPr>
          <w:sz w:val="22"/>
          <w:szCs w:val="22"/>
        </w:rPr>
        <w:t xml:space="preserve">  </w:t>
      </w:r>
      <w:r w:rsidR="008A095A" w:rsidRPr="008A095A">
        <w:rPr>
          <w:b/>
          <w:bCs/>
          <w:sz w:val="22"/>
          <w:szCs w:val="22"/>
        </w:rPr>
        <w:t>Potential</w:t>
      </w:r>
      <w:r w:rsidR="008A095A">
        <w:rPr>
          <w:sz w:val="22"/>
          <w:szCs w:val="22"/>
        </w:rPr>
        <w:t xml:space="preserve"> </w:t>
      </w:r>
      <w:r w:rsidR="0099578D" w:rsidRPr="0099578D">
        <w:rPr>
          <w:b/>
          <w:bCs/>
          <w:sz w:val="22"/>
          <w:szCs w:val="22"/>
        </w:rPr>
        <w:t xml:space="preserve">Update from Chiodo </w:t>
      </w:r>
      <w:r w:rsidR="008A095A">
        <w:rPr>
          <w:b/>
          <w:bCs/>
          <w:sz w:val="22"/>
          <w:szCs w:val="22"/>
        </w:rPr>
        <w:t xml:space="preserve">or Utility </w:t>
      </w:r>
      <w:r w:rsidR="0099578D" w:rsidRPr="0099578D">
        <w:rPr>
          <w:b/>
          <w:bCs/>
          <w:sz w:val="22"/>
          <w:szCs w:val="22"/>
        </w:rPr>
        <w:t>in meeting.</w:t>
      </w:r>
    </w:p>
    <w:p w14:paraId="71ADB68C" w14:textId="69536712" w:rsidR="0054121C" w:rsidRDefault="0054121C">
      <w:pPr>
        <w:rPr>
          <w:sz w:val="22"/>
          <w:szCs w:val="22"/>
        </w:rPr>
      </w:pPr>
    </w:p>
    <w:p w14:paraId="3FA60A1C" w14:textId="414BBF45" w:rsidR="0099578D" w:rsidRDefault="0099578D">
      <w:pPr>
        <w:rPr>
          <w:sz w:val="22"/>
          <w:szCs w:val="22"/>
        </w:rPr>
      </w:pPr>
      <w:r w:rsidRPr="00495E44">
        <w:rPr>
          <w:b/>
          <w:bCs/>
          <w:color w:val="2F5496" w:themeColor="accent1" w:themeShade="BF"/>
          <w:sz w:val="22"/>
          <w:szCs w:val="22"/>
          <w:u w:val="single"/>
        </w:rPr>
        <w:t xml:space="preserve">Item </w:t>
      </w:r>
      <w:r>
        <w:rPr>
          <w:b/>
          <w:bCs/>
          <w:color w:val="2F5496" w:themeColor="accent1" w:themeShade="BF"/>
          <w:sz w:val="22"/>
          <w:szCs w:val="22"/>
          <w:u w:val="single"/>
        </w:rPr>
        <w:t>3c:</w:t>
      </w:r>
      <w:r w:rsidRPr="0099578D">
        <w:rPr>
          <w:b/>
          <w:bCs/>
          <w:color w:val="2F5496" w:themeColor="accent1" w:themeShade="BF"/>
          <w:sz w:val="22"/>
          <w:szCs w:val="22"/>
        </w:rPr>
        <w:t xml:space="preserve">  Invoice / separate memo</w:t>
      </w:r>
      <w:r w:rsidR="008A095A">
        <w:rPr>
          <w:b/>
          <w:bCs/>
          <w:color w:val="2F5496" w:themeColor="accent1" w:themeShade="BF"/>
          <w:sz w:val="22"/>
          <w:szCs w:val="22"/>
        </w:rPr>
        <w:t xml:space="preserve"> </w:t>
      </w:r>
      <w:r w:rsidR="008A095A" w:rsidRPr="008A095A">
        <w:rPr>
          <w:b/>
          <w:bCs/>
          <w:color w:val="2F5496" w:themeColor="accent1" w:themeShade="BF"/>
          <w:sz w:val="22"/>
          <w:szCs w:val="22"/>
          <w:u w:val="single"/>
        </w:rPr>
        <w:t>attached</w:t>
      </w:r>
      <w:r w:rsidRPr="0099578D">
        <w:rPr>
          <w:b/>
          <w:bCs/>
          <w:color w:val="2F5496" w:themeColor="accent1" w:themeShade="BF"/>
          <w:sz w:val="22"/>
          <w:szCs w:val="22"/>
        </w:rPr>
        <w:t>.</w:t>
      </w:r>
    </w:p>
    <w:p w14:paraId="7DE8CDB2" w14:textId="77777777" w:rsidR="0099578D" w:rsidRPr="00495E44" w:rsidRDefault="0099578D">
      <w:pPr>
        <w:rPr>
          <w:sz w:val="22"/>
          <w:szCs w:val="22"/>
        </w:rPr>
      </w:pPr>
    </w:p>
    <w:p w14:paraId="24CFD426" w14:textId="1DFFE95A" w:rsidR="0054121C" w:rsidRPr="00495E44" w:rsidRDefault="00EE29BC">
      <w:pPr>
        <w:rPr>
          <w:b/>
          <w:bCs/>
          <w:color w:val="2F5496" w:themeColor="accent1" w:themeShade="BF"/>
          <w:sz w:val="22"/>
          <w:szCs w:val="22"/>
        </w:rPr>
      </w:pPr>
      <w:r w:rsidRPr="00495E44">
        <w:rPr>
          <w:b/>
          <w:bCs/>
          <w:color w:val="2F5496" w:themeColor="accent1" w:themeShade="BF"/>
          <w:sz w:val="22"/>
          <w:szCs w:val="22"/>
          <w:u w:val="single"/>
        </w:rPr>
        <w:t xml:space="preserve">Item </w:t>
      </w:r>
      <w:r w:rsidR="0099578D">
        <w:rPr>
          <w:b/>
          <w:bCs/>
          <w:color w:val="2F5496" w:themeColor="accent1" w:themeShade="BF"/>
          <w:sz w:val="22"/>
          <w:szCs w:val="22"/>
          <w:u w:val="single"/>
        </w:rPr>
        <w:t>4a</w:t>
      </w:r>
      <w:r w:rsidRPr="00495E44">
        <w:rPr>
          <w:b/>
          <w:bCs/>
          <w:color w:val="2F5496" w:themeColor="accent1" w:themeShade="BF"/>
          <w:sz w:val="22"/>
          <w:szCs w:val="22"/>
        </w:rPr>
        <w:t xml:space="preserve">:  </w:t>
      </w:r>
      <w:r w:rsidR="0017229C" w:rsidRPr="00495E44">
        <w:rPr>
          <w:b/>
          <w:bCs/>
          <w:color w:val="2F5496" w:themeColor="accent1" w:themeShade="BF"/>
          <w:sz w:val="22"/>
          <w:szCs w:val="22"/>
        </w:rPr>
        <w:t xml:space="preserve">Update - </w:t>
      </w:r>
      <w:r w:rsidR="0054121C" w:rsidRPr="00495E44">
        <w:rPr>
          <w:b/>
          <w:bCs/>
          <w:color w:val="2F5496" w:themeColor="accent1" w:themeShade="BF"/>
          <w:sz w:val="22"/>
          <w:szCs w:val="22"/>
        </w:rPr>
        <w:t xml:space="preserve">Contracts </w:t>
      </w:r>
      <w:r w:rsidR="00FA3F47" w:rsidRPr="00495E44">
        <w:rPr>
          <w:b/>
          <w:bCs/>
          <w:color w:val="2F5496" w:themeColor="accent1" w:themeShade="BF"/>
          <w:sz w:val="22"/>
          <w:szCs w:val="22"/>
        </w:rPr>
        <w:t xml:space="preserve">Status </w:t>
      </w:r>
      <w:r w:rsidR="0054121C" w:rsidRPr="00495E44">
        <w:rPr>
          <w:b/>
          <w:bCs/>
          <w:color w:val="2F5496" w:themeColor="accent1" w:themeShade="BF"/>
          <w:sz w:val="22"/>
          <w:szCs w:val="22"/>
        </w:rPr>
        <w:t xml:space="preserve">for the 2019-2021 Evaluation Projects:  </w:t>
      </w:r>
    </w:p>
    <w:p w14:paraId="07229D67" w14:textId="7049447E" w:rsidR="00D97293" w:rsidRDefault="00EE29BC" w:rsidP="00EE29BC">
      <w:pPr>
        <w:pStyle w:val="ListParagraph"/>
        <w:numPr>
          <w:ilvl w:val="0"/>
          <w:numId w:val="2"/>
        </w:numPr>
        <w:rPr>
          <w:sz w:val="22"/>
          <w:szCs w:val="22"/>
        </w:rPr>
      </w:pPr>
      <w:r w:rsidRPr="00495E44">
        <w:rPr>
          <w:b/>
          <w:bCs/>
          <w:sz w:val="22"/>
          <w:szCs w:val="22"/>
        </w:rPr>
        <w:t>Contracts</w:t>
      </w:r>
      <w:r w:rsidRPr="00495E44">
        <w:rPr>
          <w:sz w:val="22"/>
          <w:szCs w:val="22"/>
        </w:rPr>
        <w:t xml:space="preserve">:  </w:t>
      </w:r>
      <w:r w:rsidR="00D97293">
        <w:rPr>
          <w:sz w:val="22"/>
          <w:szCs w:val="22"/>
        </w:rPr>
        <w:t xml:space="preserve">We believe all contracts are complete from UI and Eversource.  UI has one last internal step related to budgeting that holds up </w:t>
      </w:r>
      <w:r w:rsidR="001337F9" w:rsidRPr="001337F9">
        <w:rPr>
          <w:color w:val="FF0000"/>
          <w:sz w:val="22"/>
          <w:szCs w:val="22"/>
        </w:rPr>
        <w:t>(CONFIRM</w:t>
      </w:r>
      <w:r w:rsidR="001337F9">
        <w:rPr>
          <w:color w:val="FF0000"/>
          <w:sz w:val="22"/>
          <w:szCs w:val="22"/>
        </w:rPr>
        <w:t xml:space="preserve"> THIS</w:t>
      </w:r>
      <w:r w:rsidR="001337F9" w:rsidRPr="001337F9">
        <w:rPr>
          <w:color w:val="FF0000"/>
          <w:sz w:val="22"/>
          <w:szCs w:val="22"/>
        </w:rPr>
        <w:t xml:space="preserve"> STATUS WITH UI)</w:t>
      </w:r>
    </w:p>
    <w:p w14:paraId="6F893F55" w14:textId="77777777" w:rsidR="00D97293" w:rsidRDefault="00D97293" w:rsidP="00D97293">
      <w:pPr>
        <w:pStyle w:val="ListParagraph"/>
        <w:numPr>
          <w:ilvl w:val="1"/>
          <w:numId w:val="2"/>
        </w:numPr>
        <w:rPr>
          <w:sz w:val="22"/>
          <w:szCs w:val="22"/>
        </w:rPr>
      </w:pPr>
      <w:r>
        <w:rPr>
          <w:sz w:val="22"/>
          <w:szCs w:val="22"/>
        </w:rPr>
        <w:t xml:space="preserve">1) UI staff providing data or potentially participating in the project development work, or </w:t>
      </w:r>
    </w:p>
    <w:p w14:paraId="325D480A" w14:textId="55FD3FE6" w:rsidR="00D97293" w:rsidRDefault="00D97293" w:rsidP="00D97293">
      <w:pPr>
        <w:pStyle w:val="ListParagraph"/>
        <w:numPr>
          <w:ilvl w:val="1"/>
          <w:numId w:val="2"/>
        </w:numPr>
        <w:rPr>
          <w:sz w:val="22"/>
          <w:szCs w:val="22"/>
        </w:rPr>
      </w:pPr>
      <w:r>
        <w:rPr>
          <w:sz w:val="22"/>
          <w:szCs w:val="22"/>
        </w:rPr>
        <w:t>2) having projects bill for the work efforts.</w:t>
      </w:r>
    </w:p>
    <w:p w14:paraId="1D41FC72" w14:textId="018EE741" w:rsidR="00D97293" w:rsidRPr="00D97293" w:rsidRDefault="00D97293" w:rsidP="00D97293">
      <w:pPr>
        <w:pStyle w:val="ListParagraph"/>
        <w:numPr>
          <w:ilvl w:val="0"/>
          <w:numId w:val="2"/>
        </w:numPr>
        <w:rPr>
          <w:sz w:val="22"/>
          <w:szCs w:val="22"/>
        </w:rPr>
      </w:pPr>
      <w:r w:rsidRPr="00D97293">
        <w:rPr>
          <w:sz w:val="22"/>
          <w:szCs w:val="22"/>
        </w:rPr>
        <w:t xml:space="preserve">We appreciate Oswald’s assistance in participating in development / Q&amp;A calls, and </w:t>
      </w:r>
    </w:p>
    <w:p w14:paraId="662D3DD5" w14:textId="2D7D0E6E" w:rsidR="00635345" w:rsidRDefault="00D97293" w:rsidP="00FA3F47">
      <w:pPr>
        <w:pStyle w:val="ListParagraph"/>
        <w:numPr>
          <w:ilvl w:val="0"/>
          <w:numId w:val="2"/>
        </w:numPr>
        <w:rPr>
          <w:sz w:val="22"/>
          <w:szCs w:val="22"/>
        </w:rPr>
      </w:pPr>
      <w:r>
        <w:rPr>
          <w:sz w:val="22"/>
          <w:szCs w:val="22"/>
        </w:rPr>
        <w:t>F</w:t>
      </w:r>
      <w:r w:rsidR="00AE31D1" w:rsidRPr="00495E44">
        <w:rPr>
          <w:sz w:val="22"/>
          <w:szCs w:val="22"/>
        </w:rPr>
        <w:t>or any contracts not complete by UI, we will bill Eversource first and then adjust the next bills as soon as the UI contracts are complete, as per committee agreement.</w:t>
      </w:r>
      <w:r w:rsidR="00635345">
        <w:rPr>
          <w:sz w:val="22"/>
          <w:szCs w:val="22"/>
        </w:rPr>
        <w:t xml:space="preserve">  </w:t>
      </w:r>
    </w:p>
    <w:p w14:paraId="69EF8B1A" w14:textId="319F51F3" w:rsidR="00EE29BC" w:rsidRDefault="00635345" w:rsidP="00FA3F47">
      <w:pPr>
        <w:pStyle w:val="ListParagraph"/>
        <w:numPr>
          <w:ilvl w:val="0"/>
          <w:numId w:val="2"/>
        </w:numPr>
        <w:rPr>
          <w:sz w:val="22"/>
          <w:szCs w:val="22"/>
        </w:rPr>
      </w:pPr>
      <w:r>
        <w:rPr>
          <w:sz w:val="22"/>
          <w:szCs w:val="22"/>
        </w:rPr>
        <w:lastRenderedPageBreak/>
        <w:t xml:space="preserve">Invoicing – received updated percentage matrix from Eversource.  </w:t>
      </w:r>
      <w:r w:rsidR="001337F9" w:rsidRPr="001337F9">
        <w:rPr>
          <w:color w:val="FF0000"/>
          <w:sz w:val="22"/>
          <w:szCs w:val="22"/>
          <w:u w:val="single"/>
        </w:rPr>
        <w:t>QUESTION:</w:t>
      </w:r>
      <w:r w:rsidR="001337F9" w:rsidRPr="001337F9">
        <w:rPr>
          <w:color w:val="FF0000"/>
          <w:sz w:val="22"/>
          <w:szCs w:val="22"/>
        </w:rPr>
        <w:t xml:space="preserve">  </w:t>
      </w:r>
      <w:r>
        <w:rPr>
          <w:sz w:val="22"/>
          <w:szCs w:val="22"/>
        </w:rPr>
        <w:t xml:space="preserve">Clarify that UI percentages that should be billed are from UI contracts?  Are UI invoices per PROJECT (last year) or grouped by FIRM (per Eversource change)? </w:t>
      </w:r>
    </w:p>
    <w:p w14:paraId="2B61C262" w14:textId="1C94C362" w:rsidR="0099578D" w:rsidRDefault="0099578D" w:rsidP="00FA3F47">
      <w:pPr>
        <w:pStyle w:val="ListParagraph"/>
        <w:numPr>
          <w:ilvl w:val="0"/>
          <w:numId w:val="2"/>
        </w:numPr>
        <w:rPr>
          <w:sz w:val="22"/>
          <w:szCs w:val="22"/>
        </w:rPr>
      </w:pPr>
      <w:r>
        <w:rPr>
          <w:sz w:val="22"/>
          <w:szCs w:val="22"/>
        </w:rPr>
        <w:t>Development work has begun on all projects (see Gantt, etc.).</w:t>
      </w:r>
    </w:p>
    <w:p w14:paraId="469497A1" w14:textId="77777777" w:rsidR="0099578D" w:rsidRPr="00495E44" w:rsidRDefault="0099578D" w:rsidP="0099578D">
      <w:pPr>
        <w:pStyle w:val="ListParagraph"/>
        <w:rPr>
          <w:sz w:val="22"/>
          <w:szCs w:val="22"/>
        </w:rPr>
      </w:pPr>
    </w:p>
    <w:p w14:paraId="7E18E6D5" w14:textId="25BB46B8" w:rsidR="00EE29BC" w:rsidRPr="0099578D" w:rsidRDefault="00D97293" w:rsidP="0099578D">
      <w:pPr>
        <w:rPr>
          <w:sz w:val="22"/>
          <w:szCs w:val="22"/>
        </w:rPr>
      </w:pPr>
      <w:r w:rsidRPr="0099578D">
        <w:rPr>
          <w:b/>
          <w:bCs/>
          <w:color w:val="2F5496" w:themeColor="accent1" w:themeShade="BF"/>
          <w:sz w:val="22"/>
          <w:szCs w:val="22"/>
          <w:u w:val="single"/>
        </w:rPr>
        <w:t xml:space="preserve">Item </w:t>
      </w:r>
      <w:r w:rsidR="0099578D">
        <w:rPr>
          <w:b/>
          <w:bCs/>
          <w:color w:val="2F5496" w:themeColor="accent1" w:themeShade="BF"/>
          <w:sz w:val="22"/>
          <w:szCs w:val="22"/>
          <w:u w:val="single"/>
        </w:rPr>
        <w:t>4b:</w:t>
      </w:r>
      <w:r w:rsidR="0099578D" w:rsidRPr="0099578D">
        <w:rPr>
          <w:b/>
          <w:bCs/>
          <w:color w:val="2F5496" w:themeColor="accent1" w:themeShade="BF"/>
          <w:sz w:val="22"/>
          <w:szCs w:val="22"/>
        </w:rPr>
        <w:t xml:space="preserve"> Contractor Pools:</w:t>
      </w:r>
      <w:r w:rsidR="0099578D">
        <w:rPr>
          <w:b/>
          <w:bCs/>
          <w:color w:val="2F5496" w:themeColor="accent1" w:themeShade="BF"/>
          <w:sz w:val="22"/>
          <w:szCs w:val="22"/>
          <w:u w:val="single"/>
        </w:rPr>
        <w:t xml:space="preserve">  </w:t>
      </w:r>
      <w:r w:rsidRPr="0099578D">
        <w:rPr>
          <w:sz w:val="22"/>
          <w:szCs w:val="22"/>
        </w:rPr>
        <w:t>See memo</w:t>
      </w:r>
      <w:r w:rsidR="00635345">
        <w:rPr>
          <w:sz w:val="22"/>
          <w:szCs w:val="22"/>
        </w:rPr>
        <w:t xml:space="preserve"> with recommendation / </w:t>
      </w:r>
      <w:r w:rsidR="00635345" w:rsidRPr="00635345">
        <w:rPr>
          <w:sz w:val="22"/>
          <w:szCs w:val="22"/>
          <w:u w:val="single"/>
        </w:rPr>
        <w:t>vote request</w:t>
      </w:r>
      <w:r w:rsidRPr="0099578D">
        <w:rPr>
          <w:sz w:val="22"/>
          <w:szCs w:val="22"/>
        </w:rPr>
        <w:t xml:space="preserve">.  </w:t>
      </w:r>
      <w:r w:rsidR="00AE31D1" w:rsidRPr="0099578D">
        <w:rPr>
          <w:sz w:val="22"/>
          <w:szCs w:val="22"/>
        </w:rPr>
        <w:t>These pools represent the firms that will be considered eligible for the next round of RFPs under the Plan.</w:t>
      </w:r>
    </w:p>
    <w:p w14:paraId="6B254B1C" w14:textId="10BF62B1" w:rsidR="00EE29BC" w:rsidRPr="00495E44" w:rsidRDefault="00EE29BC">
      <w:pPr>
        <w:rPr>
          <w:sz w:val="22"/>
          <w:szCs w:val="22"/>
        </w:rPr>
      </w:pPr>
    </w:p>
    <w:p w14:paraId="58C4AC86" w14:textId="420CDFEF" w:rsidR="0099578D" w:rsidRPr="00E80916" w:rsidRDefault="00D97293" w:rsidP="00D97293">
      <w:pPr>
        <w:rPr>
          <w:b/>
          <w:bCs/>
          <w:sz w:val="22"/>
          <w:szCs w:val="22"/>
        </w:rPr>
      </w:pPr>
      <w:r w:rsidRPr="00495E44">
        <w:rPr>
          <w:b/>
          <w:bCs/>
          <w:color w:val="2F5496" w:themeColor="accent1" w:themeShade="BF"/>
          <w:sz w:val="22"/>
          <w:szCs w:val="22"/>
          <w:u w:val="single"/>
        </w:rPr>
        <w:t xml:space="preserve">Item </w:t>
      </w:r>
      <w:r w:rsidR="0099578D">
        <w:rPr>
          <w:b/>
          <w:bCs/>
          <w:color w:val="2F5496" w:themeColor="accent1" w:themeShade="BF"/>
          <w:sz w:val="22"/>
          <w:szCs w:val="22"/>
          <w:u w:val="single"/>
        </w:rPr>
        <w:t>4c</w:t>
      </w:r>
      <w:r w:rsidR="00E80916">
        <w:rPr>
          <w:b/>
          <w:bCs/>
          <w:color w:val="2F5496" w:themeColor="accent1" w:themeShade="BF"/>
          <w:sz w:val="22"/>
          <w:szCs w:val="22"/>
          <w:u w:val="single"/>
        </w:rPr>
        <w:t xml:space="preserve">:  </w:t>
      </w:r>
      <w:r w:rsidR="00E80916" w:rsidRPr="00E80916">
        <w:rPr>
          <w:b/>
          <w:bCs/>
          <w:color w:val="2F5496" w:themeColor="accent1" w:themeShade="BF"/>
          <w:sz w:val="22"/>
          <w:szCs w:val="22"/>
        </w:rPr>
        <w:t>2019 Evaluation Plan Update beginning</w:t>
      </w:r>
    </w:p>
    <w:p w14:paraId="146A6FA1" w14:textId="516AD8D6" w:rsidR="0099578D" w:rsidRPr="009B2922" w:rsidRDefault="00E80916" w:rsidP="00D97293">
      <w:pPr>
        <w:rPr>
          <w:sz w:val="22"/>
          <w:szCs w:val="22"/>
        </w:rPr>
      </w:pPr>
      <w:r w:rsidRPr="009B2922">
        <w:rPr>
          <w:sz w:val="22"/>
          <w:szCs w:val="22"/>
        </w:rPr>
        <w:t xml:space="preserve">Evaluation plan update process to refine the 3-year Evaluation Plan approved last year – ID </w:t>
      </w:r>
      <w:r w:rsidR="009B2922" w:rsidRPr="009B2922">
        <w:rPr>
          <w:sz w:val="22"/>
          <w:szCs w:val="22"/>
        </w:rPr>
        <w:t xml:space="preserve">additional </w:t>
      </w:r>
      <w:r w:rsidRPr="009B2922">
        <w:rPr>
          <w:sz w:val="22"/>
          <w:szCs w:val="22"/>
        </w:rPr>
        <w:t xml:space="preserve">priority </w:t>
      </w:r>
      <w:r w:rsidR="009B2922" w:rsidRPr="009B2922">
        <w:rPr>
          <w:sz w:val="22"/>
          <w:szCs w:val="22"/>
        </w:rPr>
        <w:t xml:space="preserve">project </w:t>
      </w:r>
      <w:r w:rsidRPr="009B2922">
        <w:rPr>
          <w:sz w:val="22"/>
          <w:szCs w:val="22"/>
        </w:rPr>
        <w:t>needs</w:t>
      </w:r>
      <w:r w:rsidR="009B2922" w:rsidRPr="009B2922">
        <w:rPr>
          <w:sz w:val="22"/>
          <w:szCs w:val="22"/>
        </w:rPr>
        <w:t xml:space="preserve">.  Not large process like last year.  </w:t>
      </w:r>
      <w:r w:rsidR="001337F9" w:rsidRPr="001337F9">
        <w:rPr>
          <w:sz w:val="22"/>
          <w:szCs w:val="22"/>
          <w:u w:val="single"/>
        </w:rPr>
        <w:t>R</w:t>
      </w:r>
      <w:r w:rsidR="001337F9">
        <w:rPr>
          <w:sz w:val="22"/>
          <w:szCs w:val="22"/>
          <w:u w:val="single"/>
        </w:rPr>
        <w:t>ELATED ATTACHMENTS</w:t>
      </w:r>
      <w:r w:rsidR="001337F9">
        <w:rPr>
          <w:sz w:val="22"/>
          <w:szCs w:val="22"/>
        </w:rPr>
        <w:t xml:space="preserve">:  </w:t>
      </w:r>
      <w:r w:rsidR="009B2922" w:rsidRPr="009B2922">
        <w:rPr>
          <w:sz w:val="22"/>
          <w:szCs w:val="22"/>
        </w:rPr>
        <w:t xml:space="preserve">2019-2021 Evaluation Plan plus form for submitting ideas if you identify priority gaps.  </w:t>
      </w:r>
      <w:r w:rsidR="00CA46EE">
        <w:rPr>
          <w:sz w:val="22"/>
          <w:szCs w:val="22"/>
        </w:rPr>
        <w:t xml:space="preserve">List of previous studies at bottom of this document. </w:t>
      </w:r>
      <w:r w:rsidR="009B2922" w:rsidRPr="009B2922">
        <w:rPr>
          <w:sz w:val="22"/>
          <w:szCs w:val="22"/>
        </w:rPr>
        <w:t>Next steps:</w:t>
      </w:r>
    </w:p>
    <w:p w14:paraId="11472E97" w14:textId="775A8570" w:rsidR="009B2922" w:rsidRPr="009B2922" w:rsidRDefault="009B2922" w:rsidP="009B2922">
      <w:pPr>
        <w:pStyle w:val="ListParagraph"/>
        <w:numPr>
          <w:ilvl w:val="0"/>
          <w:numId w:val="5"/>
        </w:numPr>
        <w:rPr>
          <w:sz w:val="22"/>
          <w:szCs w:val="22"/>
        </w:rPr>
      </w:pPr>
      <w:r w:rsidRPr="009B2922">
        <w:rPr>
          <w:sz w:val="22"/>
          <w:szCs w:val="22"/>
        </w:rPr>
        <w:t>EA Team reviews Plan for our assessment of gaps, tweaks.</w:t>
      </w:r>
    </w:p>
    <w:p w14:paraId="66BE19E3" w14:textId="32188DD2" w:rsidR="009B2922" w:rsidRPr="009B2922" w:rsidRDefault="009B2922" w:rsidP="009B2922">
      <w:pPr>
        <w:pStyle w:val="ListParagraph"/>
        <w:numPr>
          <w:ilvl w:val="0"/>
          <w:numId w:val="5"/>
        </w:numPr>
        <w:rPr>
          <w:sz w:val="22"/>
          <w:szCs w:val="22"/>
        </w:rPr>
      </w:pPr>
      <w:r w:rsidRPr="009B2922">
        <w:rPr>
          <w:sz w:val="22"/>
          <w:szCs w:val="22"/>
        </w:rPr>
        <w:t>EA Team reviews concepts submitted by Evaluation Committee</w:t>
      </w:r>
    </w:p>
    <w:p w14:paraId="73056FED" w14:textId="64AB5002" w:rsidR="009B2922" w:rsidRPr="009B2922" w:rsidRDefault="009B2922" w:rsidP="009B2922">
      <w:pPr>
        <w:pStyle w:val="ListParagraph"/>
        <w:numPr>
          <w:ilvl w:val="0"/>
          <w:numId w:val="5"/>
        </w:numPr>
        <w:rPr>
          <w:sz w:val="22"/>
          <w:szCs w:val="22"/>
        </w:rPr>
      </w:pPr>
      <w:r w:rsidRPr="009B2922">
        <w:rPr>
          <w:sz w:val="22"/>
          <w:szCs w:val="22"/>
        </w:rPr>
        <w:t>Prioritized according to existing criteria</w:t>
      </w:r>
      <w:r w:rsidR="00392142">
        <w:rPr>
          <w:sz w:val="22"/>
          <w:szCs w:val="22"/>
        </w:rPr>
        <w:t xml:space="preserve"> (</w:t>
      </w:r>
      <w:r w:rsidR="004A1167">
        <w:rPr>
          <w:sz w:val="22"/>
          <w:szCs w:val="22"/>
        </w:rPr>
        <w:t>Page 3 of attached adopted Plan; impact, process, not recently evaluated, high C&amp;LM Plan savings, ISO/FCM, numbers/gaps in PSD, need or program design, part of series, co-funded, other considerations; budget)</w:t>
      </w:r>
    </w:p>
    <w:p w14:paraId="4CD07147" w14:textId="20014F94" w:rsidR="009B2922" w:rsidRPr="009B2922" w:rsidRDefault="009B2922" w:rsidP="009B2922">
      <w:pPr>
        <w:pStyle w:val="ListParagraph"/>
        <w:numPr>
          <w:ilvl w:val="0"/>
          <w:numId w:val="5"/>
        </w:numPr>
        <w:rPr>
          <w:sz w:val="22"/>
          <w:szCs w:val="22"/>
        </w:rPr>
      </w:pPr>
      <w:r w:rsidRPr="009B2922">
        <w:rPr>
          <w:sz w:val="22"/>
          <w:szCs w:val="22"/>
        </w:rPr>
        <w:t>Provide recommended / prioritized modifications</w:t>
      </w:r>
    </w:p>
    <w:p w14:paraId="6D569211" w14:textId="63D44D34" w:rsidR="009B2922" w:rsidRPr="009B2922" w:rsidRDefault="009B2922" w:rsidP="009B2922">
      <w:pPr>
        <w:pStyle w:val="ListParagraph"/>
        <w:numPr>
          <w:ilvl w:val="0"/>
          <w:numId w:val="5"/>
        </w:numPr>
        <w:rPr>
          <w:sz w:val="22"/>
          <w:szCs w:val="22"/>
        </w:rPr>
      </w:pPr>
      <w:r w:rsidRPr="009B2922">
        <w:rPr>
          <w:sz w:val="22"/>
          <w:szCs w:val="22"/>
        </w:rPr>
        <w:t>Discuss with committee (in person or by phone, depending on degree of changes).</w:t>
      </w:r>
    </w:p>
    <w:p w14:paraId="62A2ADFD" w14:textId="78AA5560" w:rsidR="009B2922" w:rsidRPr="009B2922" w:rsidRDefault="009B2922" w:rsidP="009B2922">
      <w:pPr>
        <w:pStyle w:val="ListParagraph"/>
        <w:numPr>
          <w:ilvl w:val="0"/>
          <w:numId w:val="5"/>
        </w:numPr>
        <w:rPr>
          <w:sz w:val="22"/>
          <w:szCs w:val="22"/>
        </w:rPr>
      </w:pPr>
      <w:r>
        <w:rPr>
          <w:sz w:val="22"/>
          <w:szCs w:val="22"/>
        </w:rPr>
        <w:t>Committee votes to a</w:t>
      </w:r>
      <w:r w:rsidRPr="009B2922">
        <w:rPr>
          <w:sz w:val="22"/>
          <w:szCs w:val="22"/>
        </w:rPr>
        <w:t>dopt 2020 Update to the 2019-2021 Evaluation Plan</w:t>
      </w:r>
      <w:r>
        <w:rPr>
          <w:sz w:val="22"/>
          <w:szCs w:val="22"/>
        </w:rPr>
        <w:t xml:space="preserve">; submitted to EEB.  </w:t>
      </w:r>
    </w:p>
    <w:p w14:paraId="07A758CB" w14:textId="44273440" w:rsidR="00E80916" w:rsidRPr="009B2922" w:rsidRDefault="00E80916" w:rsidP="00D97293">
      <w:pPr>
        <w:rPr>
          <w:sz w:val="22"/>
          <w:szCs w:val="22"/>
        </w:rPr>
      </w:pPr>
    </w:p>
    <w:p w14:paraId="27834814" w14:textId="6F323349" w:rsidR="00FA3F47" w:rsidRPr="00495E44" w:rsidRDefault="009B2922" w:rsidP="009B2922">
      <w:pPr>
        <w:rPr>
          <w:sz w:val="22"/>
          <w:szCs w:val="22"/>
        </w:rPr>
      </w:pPr>
      <w:r w:rsidRPr="00495E44">
        <w:rPr>
          <w:b/>
          <w:bCs/>
          <w:color w:val="2F5496" w:themeColor="accent1" w:themeShade="BF"/>
          <w:sz w:val="22"/>
          <w:szCs w:val="22"/>
          <w:u w:val="single"/>
        </w:rPr>
        <w:t xml:space="preserve">Item </w:t>
      </w:r>
      <w:r>
        <w:rPr>
          <w:b/>
          <w:bCs/>
          <w:color w:val="2F5496" w:themeColor="accent1" w:themeShade="BF"/>
          <w:sz w:val="22"/>
          <w:szCs w:val="22"/>
          <w:u w:val="single"/>
        </w:rPr>
        <w:t xml:space="preserve">4d:  </w:t>
      </w:r>
      <w:r w:rsidR="00AE31D1" w:rsidRPr="00495E44">
        <w:rPr>
          <w:sz w:val="22"/>
          <w:szCs w:val="22"/>
        </w:rPr>
        <w:t xml:space="preserve"> </w:t>
      </w:r>
      <w:r w:rsidR="001337F9">
        <w:rPr>
          <w:sz w:val="22"/>
          <w:szCs w:val="22"/>
        </w:rPr>
        <w:t>This month we plan to start crafting the mini-</w:t>
      </w:r>
      <w:r w:rsidR="0017229C" w:rsidRPr="00495E44">
        <w:rPr>
          <w:sz w:val="22"/>
          <w:szCs w:val="22"/>
        </w:rPr>
        <w:t xml:space="preserve">RFPs to eligible pool candidates for the 2020 </w:t>
      </w:r>
      <w:r w:rsidR="00FA3F47" w:rsidRPr="00495E44">
        <w:rPr>
          <w:sz w:val="22"/>
          <w:szCs w:val="22"/>
        </w:rPr>
        <w:t xml:space="preserve">or 2020/2021 </w:t>
      </w:r>
      <w:r w:rsidR="0017229C" w:rsidRPr="00495E44">
        <w:rPr>
          <w:sz w:val="22"/>
          <w:szCs w:val="22"/>
        </w:rPr>
        <w:t xml:space="preserve">projects in the Plan.  The process steps are: </w:t>
      </w:r>
    </w:p>
    <w:p w14:paraId="728C6E44" w14:textId="4488928F" w:rsidR="00FA3F47" w:rsidRPr="00495E44" w:rsidRDefault="0017229C" w:rsidP="009B2922">
      <w:pPr>
        <w:pStyle w:val="ListParagraph"/>
        <w:numPr>
          <w:ilvl w:val="0"/>
          <w:numId w:val="3"/>
        </w:numPr>
        <w:rPr>
          <w:sz w:val="22"/>
          <w:szCs w:val="22"/>
        </w:rPr>
      </w:pPr>
      <w:r w:rsidRPr="00495E44">
        <w:rPr>
          <w:sz w:val="22"/>
          <w:szCs w:val="22"/>
        </w:rPr>
        <w:t xml:space="preserve">develop RFP with objectives / deliverables / scopes and </w:t>
      </w:r>
      <w:r w:rsidR="00FA3F47" w:rsidRPr="00495E44">
        <w:rPr>
          <w:sz w:val="22"/>
          <w:szCs w:val="22"/>
        </w:rPr>
        <w:t xml:space="preserve">evaluation criteria and </w:t>
      </w:r>
      <w:r w:rsidRPr="00495E44">
        <w:rPr>
          <w:sz w:val="22"/>
          <w:szCs w:val="22"/>
        </w:rPr>
        <w:t>scoring process (similar to previous RFP</w:t>
      </w:r>
      <w:r w:rsidR="001337F9">
        <w:rPr>
          <w:sz w:val="22"/>
          <w:szCs w:val="22"/>
        </w:rPr>
        <w:t xml:space="preserve">; </w:t>
      </w:r>
      <w:r w:rsidR="001337F9" w:rsidRPr="001337F9">
        <w:rPr>
          <w:sz w:val="22"/>
          <w:szCs w:val="22"/>
          <w:u w:val="single"/>
        </w:rPr>
        <w:t>QUESTION</w:t>
      </w:r>
      <w:r w:rsidR="001337F9">
        <w:rPr>
          <w:sz w:val="22"/>
          <w:szCs w:val="22"/>
        </w:rPr>
        <w:t xml:space="preserve"> – do we need updated terms &amp; conditions or from previous RFP?</w:t>
      </w:r>
      <w:r w:rsidRPr="00495E44">
        <w:rPr>
          <w:sz w:val="22"/>
          <w:szCs w:val="22"/>
        </w:rPr>
        <w:t xml:space="preserve">), </w:t>
      </w:r>
    </w:p>
    <w:p w14:paraId="0FE74A0E" w14:textId="6C71154C" w:rsidR="00FA3F47" w:rsidRPr="00495E44" w:rsidRDefault="0017229C" w:rsidP="009B2922">
      <w:pPr>
        <w:pStyle w:val="ListParagraph"/>
        <w:numPr>
          <w:ilvl w:val="0"/>
          <w:numId w:val="3"/>
        </w:numPr>
        <w:rPr>
          <w:sz w:val="22"/>
          <w:szCs w:val="22"/>
        </w:rPr>
      </w:pPr>
      <w:r w:rsidRPr="00495E44">
        <w:rPr>
          <w:sz w:val="22"/>
          <w:szCs w:val="22"/>
        </w:rPr>
        <w:t xml:space="preserve">submit </w:t>
      </w:r>
      <w:r w:rsidR="001337F9">
        <w:rPr>
          <w:sz w:val="22"/>
          <w:szCs w:val="22"/>
        </w:rPr>
        <w:t xml:space="preserve">draft </w:t>
      </w:r>
      <w:r w:rsidRPr="00495E44">
        <w:rPr>
          <w:sz w:val="22"/>
          <w:szCs w:val="22"/>
        </w:rPr>
        <w:t xml:space="preserve">for committee comment, </w:t>
      </w:r>
    </w:p>
    <w:p w14:paraId="33E8D6DE" w14:textId="0AF06576" w:rsidR="0054121C" w:rsidRPr="00495E44" w:rsidRDefault="0017229C" w:rsidP="009B2922">
      <w:pPr>
        <w:pStyle w:val="ListParagraph"/>
        <w:numPr>
          <w:ilvl w:val="0"/>
          <w:numId w:val="3"/>
        </w:numPr>
        <w:rPr>
          <w:sz w:val="22"/>
          <w:szCs w:val="22"/>
        </w:rPr>
      </w:pPr>
      <w:r w:rsidRPr="00495E44">
        <w:rPr>
          <w:sz w:val="22"/>
          <w:szCs w:val="22"/>
        </w:rPr>
        <w:t>revise / finalize and release RFPs</w:t>
      </w:r>
      <w:r w:rsidR="00FA3F47" w:rsidRPr="00495E44">
        <w:rPr>
          <w:sz w:val="22"/>
          <w:szCs w:val="22"/>
        </w:rPr>
        <w:t>; respond to Q&amp;A</w:t>
      </w:r>
    </w:p>
    <w:p w14:paraId="170B4E3D" w14:textId="77777777" w:rsidR="00FA3F47" w:rsidRPr="00495E44" w:rsidRDefault="00FA3F47" w:rsidP="009B2922">
      <w:pPr>
        <w:pStyle w:val="ListParagraph"/>
        <w:numPr>
          <w:ilvl w:val="0"/>
          <w:numId w:val="3"/>
        </w:numPr>
        <w:rPr>
          <w:sz w:val="22"/>
          <w:szCs w:val="22"/>
        </w:rPr>
      </w:pPr>
      <w:r w:rsidRPr="00495E44">
        <w:rPr>
          <w:sz w:val="22"/>
          <w:szCs w:val="22"/>
        </w:rPr>
        <w:t xml:space="preserve">score and recommend winners; provide memo to committee documenting scores and recommendations for review by Committee.  </w:t>
      </w:r>
    </w:p>
    <w:p w14:paraId="14988C69" w14:textId="0DC9F010" w:rsidR="00FA3F47" w:rsidRPr="00495E44" w:rsidRDefault="00FA3F47" w:rsidP="009B2922">
      <w:pPr>
        <w:pStyle w:val="ListParagraph"/>
        <w:numPr>
          <w:ilvl w:val="0"/>
          <w:numId w:val="3"/>
        </w:numPr>
        <w:rPr>
          <w:sz w:val="22"/>
          <w:szCs w:val="22"/>
        </w:rPr>
      </w:pPr>
      <w:r w:rsidRPr="00495E44">
        <w:rPr>
          <w:sz w:val="22"/>
          <w:szCs w:val="22"/>
        </w:rPr>
        <w:t>Contracting process follows.</w:t>
      </w:r>
    </w:p>
    <w:p w14:paraId="20DE2A3A" w14:textId="27C52505" w:rsidR="0054121C" w:rsidRPr="00495E44" w:rsidRDefault="0054121C">
      <w:pPr>
        <w:rPr>
          <w:sz w:val="22"/>
          <w:szCs w:val="22"/>
        </w:rPr>
      </w:pPr>
    </w:p>
    <w:p w14:paraId="315FDF0A" w14:textId="316F7F05" w:rsidR="009B2922" w:rsidRPr="00392142" w:rsidRDefault="009B2922" w:rsidP="009B2922">
      <w:pPr>
        <w:autoSpaceDE w:val="0"/>
        <w:autoSpaceDN w:val="0"/>
        <w:rPr>
          <w:rFonts w:cs="Helvetica"/>
          <w:color w:val="000000" w:themeColor="text1"/>
          <w:sz w:val="22"/>
          <w:szCs w:val="22"/>
        </w:rPr>
      </w:pPr>
      <w:r w:rsidRPr="009B2922">
        <w:rPr>
          <w:b/>
          <w:bCs/>
          <w:color w:val="2F5496" w:themeColor="accent1" w:themeShade="BF"/>
          <w:sz w:val="22"/>
          <w:szCs w:val="22"/>
          <w:u w:val="single"/>
        </w:rPr>
        <w:t>Item</w:t>
      </w:r>
      <w:r w:rsidRPr="00392142">
        <w:rPr>
          <w:b/>
          <w:bCs/>
          <w:color w:val="2F5496" w:themeColor="accent1" w:themeShade="BF"/>
          <w:sz w:val="22"/>
          <w:szCs w:val="22"/>
          <w:u w:val="single"/>
        </w:rPr>
        <w:t xml:space="preserve"> 4e:  </w:t>
      </w:r>
      <w:r w:rsidRPr="00392142">
        <w:rPr>
          <w:sz w:val="22"/>
          <w:szCs w:val="22"/>
        </w:rPr>
        <w:t xml:space="preserve"> </w:t>
      </w:r>
      <w:r w:rsidR="006D6BCF" w:rsidRPr="00392142">
        <w:rPr>
          <w:b/>
          <w:bCs/>
          <w:color w:val="FF0000"/>
          <w:sz w:val="22"/>
          <w:szCs w:val="22"/>
        </w:rPr>
        <w:t>CARRYOVER – We usually begin to discuss carryover amounts in October.  We have a huge carryover issue for amounts from 2019 that need to be added to 2020, as projects have barely begun.</w:t>
      </w:r>
      <w:r w:rsidRPr="00392142">
        <w:rPr>
          <w:b/>
          <w:bCs/>
          <w:color w:val="FF0000"/>
          <w:sz w:val="22"/>
          <w:szCs w:val="22"/>
        </w:rPr>
        <w:t xml:space="preserve">  </w:t>
      </w:r>
      <w:r w:rsidRPr="00392142">
        <w:rPr>
          <w:rFonts w:cs="Helvetica"/>
          <w:i/>
          <w:iCs/>
          <w:color w:val="000000" w:themeColor="text1"/>
          <w:sz w:val="22"/>
          <w:szCs w:val="22"/>
        </w:rPr>
        <w:t xml:space="preserve">Very significant carryover with late year contracting.  </w:t>
      </w:r>
      <w:r w:rsidR="001337F9" w:rsidRPr="001337F9">
        <w:rPr>
          <w:rFonts w:cs="Helvetica"/>
          <w:i/>
          <w:iCs/>
          <w:color w:val="FF0000"/>
          <w:sz w:val="22"/>
          <w:szCs w:val="22"/>
          <w:u w:val="single"/>
        </w:rPr>
        <w:t>QUESTION -</w:t>
      </w:r>
      <w:r w:rsidR="001337F9" w:rsidRPr="001337F9">
        <w:rPr>
          <w:rFonts w:cs="Helvetica"/>
          <w:i/>
          <w:iCs/>
          <w:color w:val="FF0000"/>
          <w:sz w:val="22"/>
          <w:szCs w:val="22"/>
        </w:rPr>
        <w:t xml:space="preserve"> </w:t>
      </w:r>
      <w:r w:rsidRPr="00392142">
        <w:rPr>
          <w:rFonts w:cs="Helvetica"/>
          <w:i/>
          <w:iCs/>
          <w:color w:val="000000" w:themeColor="text1"/>
          <w:sz w:val="22"/>
          <w:szCs w:val="22"/>
        </w:rPr>
        <w:t>Need utilities to clearly state procedures or documentation needed for accrual / carryover.</w:t>
      </w:r>
    </w:p>
    <w:p w14:paraId="512A06C2" w14:textId="50BA08F8" w:rsidR="00FA3F47" w:rsidRPr="00392142" w:rsidRDefault="00FA3F47">
      <w:pPr>
        <w:rPr>
          <w:b/>
          <w:bCs/>
          <w:color w:val="FF0000"/>
          <w:sz w:val="22"/>
          <w:szCs w:val="22"/>
        </w:rPr>
      </w:pPr>
    </w:p>
    <w:p w14:paraId="506919B7" w14:textId="7B3189AA" w:rsidR="009B2922" w:rsidRPr="00392142" w:rsidRDefault="009B2922">
      <w:pPr>
        <w:rPr>
          <w:color w:val="002060"/>
          <w:sz w:val="22"/>
          <w:szCs w:val="22"/>
        </w:rPr>
      </w:pPr>
      <w:r w:rsidRPr="00392142">
        <w:rPr>
          <w:b/>
          <w:bCs/>
          <w:color w:val="2F5496" w:themeColor="accent1" w:themeShade="BF"/>
          <w:sz w:val="22"/>
          <w:szCs w:val="22"/>
          <w:u w:val="single"/>
        </w:rPr>
        <w:t>Item 5:  Process for adopting evaluation results into PSD - Issue</w:t>
      </w:r>
      <w:r w:rsidRPr="00392142">
        <w:rPr>
          <w:color w:val="002060"/>
          <w:sz w:val="22"/>
          <w:szCs w:val="22"/>
        </w:rPr>
        <w:t xml:space="preserve">.  Meeting </w:t>
      </w:r>
      <w:r w:rsidR="00392142">
        <w:rPr>
          <w:color w:val="002060"/>
          <w:sz w:val="22"/>
          <w:szCs w:val="22"/>
        </w:rPr>
        <w:t xml:space="preserve">was </w:t>
      </w:r>
      <w:r w:rsidRPr="00392142">
        <w:rPr>
          <w:color w:val="002060"/>
          <w:sz w:val="22"/>
          <w:szCs w:val="22"/>
        </w:rPr>
        <w:t>held</w:t>
      </w:r>
      <w:r w:rsidR="00E0231B" w:rsidRPr="00392142">
        <w:rPr>
          <w:color w:val="002060"/>
          <w:sz w:val="22"/>
          <w:szCs w:val="22"/>
        </w:rPr>
        <w:t xml:space="preserve"> to discuss evaluation results that were not integrated into 2020 PSD update.  </w:t>
      </w:r>
      <w:r w:rsidR="00392142" w:rsidRPr="00392142">
        <w:rPr>
          <w:color w:val="002060"/>
          <w:sz w:val="22"/>
          <w:szCs w:val="22"/>
        </w:rPr>
        <w:t>Immediate Action Items</w:t>
      </w:r>
      <w:r w:rsidR="00392142">
        <w:rPr>
          <w:color w:val="002060"/>
          <w:sz w:val="22"/>
          <w:szCs w:val="22"/>
        </w:rPr>
        <w:t>:</w:t>
      </w:r>
    </w:p>
    <w:p w14:paraId="497C4439" w14:textId="77777777" w:rsidR="00392142" w:rsidRPr="00392142" w:rsidRDefault="00392142" w:rsidP="00392142">
      <w:pPr>
        <w:pStyle w:val="ListParagraph"/>
        <w:numPr>
          <w:ilvl w:val="0"/>
          <w:numId w:val="7"/>
        </w:numPr>
        <w:spacing w:after="160" w:line="259" w:lineRule="auto"/>
        <w:rPr>
          <w:sz w:val="22"/>
          <w:szCs w:val="22"/>
        </w:rPr>
      </w:pPr>
      <w:r w:rsidRPr="00392142">
        <w:rPr>
          <w:sz w:val="22"/>
          <w:szCs w:val="22"/>
        </w:rPr>
        <w:t>EA Team develops written response to utility writeup of treatment of evaluation results into PSD (timing)</w:t>
      </w:r>
    </w:p>
    <w:p w14:paraId="2727D418" w14:textId="77777777" w:rsidR="00392142" w:rsidRPr="00392142" w:rsidRDefault="00392142" w:rsidP="00392142">
      <w:pPr>
        <w:pStyle w:val="ListParagraph"/>
        <w:numPr>
          <w:ilvl w:val="0"/>
          <w:numId w:val="7"/>
        </w:numPr>
        <w:spacing w:after="160" w:line="259" w:lineRule="auto"/>
        <w:rPr>
          <w:sz w:val="22"/>
          <w:szCs w:val="22"/>
        </w:rPr>
      </w:pPr>
      <w:r w:rsidRPr="00392142">
        <w:rPr>
          <w:sz w:val="22"/>
          <w:szCs w:val="22"/>
        </w:rPr>
        <w:t xml:space="preserve">EEB votes on a C&amp;LM Plan, with contingencies / conditions related to this specific item (PSD value adjustments).  </w:t>
      </w:r>
      <w:r w:rsidRPr="00392142">
        <w:rPr>
          <w:b/>
          <w:bCs/>
          <w:i/>
          <w:iCs/>
          <w:sz w:val="22"/>
          <w:szCs w:val="22"/>
          <w:u w:val="single"/>
        </w:rPr>
        <w:t>EA Team requests the opportunity to review the language of the condition related to this issue prior to the vote</w:t>
      </w:r>
      <w:r w:rsidRPr="00392142">
        <w:rPr>
          <w:b/>
          <w:bCs/>
          <w:sz w:val="22"/>
          <w:szCs w:val="22"/>
          <w:u w:val="single"/>
        </w:rPr>
        <w:t>.</w:t>
      </w:r>
    </w:p>
    <w:p w14:paraId="3E0062ED" w14:textId="1996F526" w:rsidR="00392142" w:rsidRPr="00392142" w:rsidRDefault="004A1167" w:rsidP="00392142">
      <w:pPr>
        <w:pStyle w:val="ListParagraph"/>
        <w:numPr>
          <w:ilvl w:val="0"/>
          <w:numId w:val="7"/>
        </w:numPr>
        <w:spacing w:after="160" w:line="259" w:lineRule="auto"/>
        <w:rPr>
          <w:sz w:val="22"/>
          <w:szCs w:val="22"/>
        </w:rPr>
      </w:pPr>
      <w:r>
        <w:rPr>
          <w:sz w:val="22"/>
          <w:szCs w:val="22"/>
        </w:rPr>
        <w:t>EA team arranges d</w:t>
      </w:r>
      <w:r w:rsidR="00392142" w:rsidRPr="00392142">
        <w:rPr>
          <w:sz w:val="22"/>
          <w:szCs w:val="22"/>
        </w:rPr>
        <w:t xml:space="preserve">edicated call to discuss issue(s) raised </w:t>
      </w:r>
      <w:r w:rsidR="00392142">
        <w:rPr>
          <w:sz w:val="22"/>
          <w:szCs w:val="22"/>
        </w:rPr>
        <w:t>inviting</w:t>
      </w:r>
      <w:r w:rsidR="00392142" w:rsidRPr="00392142">
        <w:rPr>
          <w:sz w:val="22"/>
          <w:szCs w:val="22"/>
        </w:rPr>
        <w:t xml:space="preserve"> utility EM&amp;V staff and Eval Committee.</w:t>
      </w:r>
    </w:p>
    <w:p w14:paraId="18ED34AC" w14:textId="77777777" w:rsidR="0046678F" w:rsidRPr="0046678F" w:rsidRDefault="00392142" w:rsidP="0046678F">
      <w:pPr>
        <w:rPr>
          <w:sz w:val="20"/>
          <w:szCs w:val="20"/>
        </w:rPr>
      </w:pPr>
      <w:r w:rsidRPr="00392142">
        <w:rPr>
          <w:sz w:val="22"/>
          <w:szCs w:val="22"/>
        </w:rPr>
        <w:t xml:space="preserve">Going forward, the Evaluation Roadmap steps are re-installed.  The finalized reports provide PSD recommendations, and the Utilities provide memos on how the results will be integrated into the PSD, highlighting any deviations from report findings / recommendations.  The EA Team reviews this and prepares a response.  At the next Evaluation Committee meeting, the PSD implications and any differences between the EA </w:t>
      </w:r>
      <w:r w:rsidRPr="00392142">
        <w:rPr>
          <w:sz w:val="22"/>
          <w:szCs w:val="22"/>
        </w:rPr>
        <w:lastRenderedPageBreak/>
        <w:t>Team and utility memo are discussed.  This process happens in association with completed reports (as per the adopted Roadmap), not in an annual roll-up, as had been proposed.  Timing is also provided in the Roadmap</w:t>
      </w:r>
      <w:r w:rsidR="004A1167">
        <w:rPr>
          <w:sz w:val="22"/>
          <w:szCs w:val="22"/>
        </w:rPr>
        <w:t xml:space="preserve">.  </w:t>
      </w:r>
      <w:hyperlink r:id="rId7" w:history="1">
        <w:r w:rsidR="0046678F" w:rsidRPr="0046678F">
          <w:rPr>
            <w:rStyle w:val="Hyperlink"/>
            <w:sz w:val="20"/>
            <w:szCs w:val="20"/>
          </w:rPr>
          <w:t>https://www.energizect.com/sites/default/files/CTEvalRoadmap_Final_2014_Updated_Dec2014.pdf</w:t>
        </w:r>
      </w:hyperlink>
    </w:p>
    <w:p w14:paraId="32F7206C" w14:textId="71303372" w:rsidR="00392142" w:rsidRDefault="00392142" w:rsidP="0046678F">
      <w:pPr>
        <w:spacing w:after="160" w:line="259" w:lineRule="auto"/>
        <w:rPr>
          <w:sz w:val="22"/>
          <w:szCs w:val="22"/>
        </w:rPr>
      </w:pPr>
    </w:p>
    <w:p w14:paraId="61328AEE" w14:textId="2E5A7D5A" w:rsidR="0046678F" w:rsidRDefault="0046678F" w:rsidP="0046678F">
      <w:pPr>
        <w:spacing w:after="160" w:line="259" w:lineRule="auto"/>
        <w:rPr>
          <w:sz w:val="22"/>
          <w:szCs w:val="22"/>
        </w:rPr>
      </w:pPr>
    </w:p>
    <w:p w14:paraId="6087B86A" w14:textId="77777777" w:rsidR="00B71AE3" w:rsidRDefault="00B71AE3" w:rsidP="0046678F">
      <w:pPr>
        <w:spacing w:after="160" w:line="259" w:lineRule="auto"/>
        <w:rPr>
          <w:sz w:val="22"/>
          <w:szCs w:val="22"/>
        </w:rPr>
      </w:pPr>
    </w:p>
    <w:p w14:paraId="2508C555" w14:textId="1312F325" w:rsidR="0046678F" w:rsidRPr="0046678F" w:rsidRDefault="0046678F" w:rsidP="0046678F">
      <w:pPr>
        <w:rPr>
          <w:sz w:val="18"/>
          <w:szCs w:val="18"/>
        </w:rPr>
      </w:pPr>
      <w:r w:rsidRPr="0046678F">
        <w:rPr>
          <w:sz w:val="22"/>
          <w:szCs w:val="22"/>
        </w:rPr>
        <w:t>ADDITIONAL CONTENT</w:t>
      </w:r>
      <w:r w:rsidR="00B71AE3">
        <w:rPr>
          <w:sz w:val="22"/>
          <w:szCs w:val="22"/>
        </w:rPr>
        <w:t xml:space="preserve"> related to Update to Evaluation Plan</w:t>
      </w:r>
      <w:r>
        <w:rPr>
          <w:sz w:val="22"/>
          <w:szCs w:val="22"/>
        </w:rPr>
        <w:t xml:space="preserve">:  List of previous Evaluation Projects for considerations related to update of 2019-2021 Evaluation Plan. </w:t>
      </w:r>
      <w:r w:rsidRPr="0046678F">
        <w:rPr>
          <w:sz w:val="22"/>
          <w:szCs w:val="22"/>
        </w:rPr>
        <w:t xml:space="preserve"> List of the projects from 2014 on (rough chronological order:  leading R=residential, C=commercial).  Ignore the initials at the end.  There are a few projects that pre-date this as well, but are not listed here. Link to the website with the project reports and presentations:</w:t>
      </w:r>
      <w:r w:rsidR="00B71AE3">
        <w:rPr>
          <w:sz w:val="22"/>
          <w:szCs w:val="22"/>
        </w:rPr>
        <w:t xml:space="preserve"> </w:t>
      </w:r>
      <w:hyperlink r:id="rId8" w:history="1">
        <w:r w:rsidRPr="0046678F">
          <w:rPr>
            <w:rStyle w:val="Hyperlink"/>
            <w:sz w:val="18"/>
            <w:szCs w:val="18"/>
          </w:rPr>
          <w:t>https://www.energizect.com/connecticut-energy-efficiency-board/evaluation-reports</w:t>
        </w:r>
      </w:hyperlink>
    </w:p>
    <w:p w14:paraId="5C87246B" w14:textId="77777777" w:rsidR="0046678F" w:rsidRPr="0046678F" w:rsidRDefault="0046678F" w:rsidP="0046678F">
      <w:pPr>
        <w:rPr>
          <w:sz w:val="20"/>
          <w:szCs w:val="20"/>
        </w:rPr>
      </w:pPr>
    </w:p>
    <w:tbl>
      <w:tblPr>
        <w:tblStyle w:val="TableGrid"/>
        <w:tblW w:w="0" w:type="auto"/>
        <w:tblLook w:val="04A0" w:firstRow="1" w:lastRow="0" w:firstColumn="1" w:lastColumn="0" w:noHBand="0" w:noVBand="1"/>
      </w:tblPr>
      <w:tblGrid>
        <w:gridCol w:w="5035"/>
        <w:gridCol w:w="5035"/>
      </w:tblGrid>
      <w:tr w:rsidR="0046678F" w:rsidRPr="0046678F" w14:paraId="0423F888" w14:textId="77777777" w:rsidTr="0046678F">
        <w:tc>
          <w:tcPr>
            <w:tcW w:w="5035" w:type="dxa"/>
          </w:tcPr>
          <w:p w14:paraId="042B12CF" w14:textId="77777777" w:rsidR="0046678F" w:rsidRPr="0046678F" w:rsidRDefault="0046678F" w:rsidP="0046678F">
            <w:pPr>
              <w:rPr>
                <w:sz w:val="20"/>
                <w:szCs w:val="20"/>
              </w:rPr>
            </w:pPr>
            <w:r w:rsidRPr="0046678F">
              <w:rPr>
                <w:sz w:val="20"/>
                <w:szCs w:val="20"/>
              </w:rPr>
              <w:t>R1.CL&amp;P &amp; UI Behavior (HER) Pilot Studies 2011 (S)</w:t>
            </w:r>
          </w:p>
          <w:p w14:paraId="037D368A" w14:textId="77777777" w:rsidR="0046678F" w:rsidRPr="0046678F" w:rsidRDefault="0046678F" w:rsidP="0046678F">
            <w:pPr>
              <w:rPr>
                <w:sz w:val="20"/>
                <w:szCs w:val="20"/>
              </w:rPr>
            </w:pPr>
            <w:r w:rsidRPr="0046678F">
              <w:rPr>
                <w:sz w:val="20"/>
                <w:szCs w:val="20"/>
              </w:rPr>
              <w:t>R2.CL&amp;P Behavior (HER) Pilot Studies 2012 Yr. 2 (S)</w:t>
            </w:r>
          </w:p>
          <w:p w14:paraId="75A20D78" w14:textId="77777777" w:rsidR="0046678F" w:rsidRPr="0046678F" w:rsidRDefault="0046678F" w:rsidP="0046678F">
            <w:pPr>
              <w:rPr>
                <w:sz w:val="20"/>
                <w:szCs w:val="20"/>
              </w:rPr>
            </w:pPr>
            <w:r w:rsidRPr="0046678F">
              <w:rPr>
                <w:sz w:val="20"/>
                <w:szCs w:val="20"/>
              </w:rPr>
              <w:t>R3.Regional Lighting Hours of Use (D)</w:t>
            </w:r>
          </w:p>
          <w:p w14:paraId="64EB9D6B" w14:textId="77777777" w:rsidR="0046678F" w:rsidRPr="0046678F" w:rsidRDefault="0046678F" w:rsidP="0046678F">
            <w:pPr>
              <w:rPr>
                <w:sz w:val="20"/>
                <w:szCs w:val="20"/>
              </w:rPr>
            </w:pPr>
            <w:r w:rsidRPr="0046678F">
              <w:rPr>
                <w:sz w:val="20"/>
                <w:szCs w:val="20"/>
              </w:rPr>
              <w:t>R4.HES Persistence and Process Evaluations (S)</w:t>
            </w:r>
          </w:p>
          <w:p w14:paraId="3E02F035" w14:textId="77777777" w:rsidR="0046678F" w:rsidRPr="0046678F" w:rsidRDefault="0046678F" w:rsidP="0046678F">
            <w:pPr>
              <w:rPr>
                <w:sz w:val="20"/>
                <w:szCs w:val="20"/>
              </w:rPr>
            </w:pPr>
            <w:r w:rsidRPr="0046678F">
              <w:rPr>
                <w:sz w:val="20"/>
                <w:szCs w:val="20"/>
              </w:rPr>
              <w:t>R4.HES &amp; IE Process Eval (w/H&amp;S, EUL/Persist, NEI) (S)</w:t>
            </w:r>
          </w:p>
          <w:p w14:paraId="11C5EF08" w14:textId="77777777" w:rsidR="0046678F" w:rsidRPr="0046678F" w:rsidRDefault="0046678F" w:rsidP="0046678F">
            <w:pPr>
              <w:rPr>
                <w:sz w:val="20"/>
                <w:szCs w:val="20"/>
              </w:rPr>
            </w:pPr>
            <w:r w:rsidRPr="0046678F">
              <w:rPr>
                <w:sz w:val="20"/>
                <w:szCs w:val="20"/>
              </w:rPr>
              <w:t>R5.SF Weatherization Baseline 2012 (S)</w:t>
            </w:r>
          </w:p>
          <w:p w14:paraId="716FCE36" w14:textId="77777777" w:rsidR="0046678F" w:rsidRPr="0046678F" w:rsidRDefault="0046678F" w:rsidP="0046678F">
            <w:pPr>
              <w:rPr>
                <w:sz w:val="20"/>
                <w:szCs w:val="20"/>
              </w:rPr>
            </w:pPr>
            <w:r w:rsidRPr="0046678F">
              <w:rPr>
                <w:sz w:val="20"/>
                <w:szCs w:val="20"/>
              </w:rPr>
              <w:t>R6.Housing Characterization (D)</w:t>
            </w:r>
          </w:p>
          <w:p w14:paraId="6946D252" w14:textId="77777777" w:rsidR="0046678F" w:rsidRPr="0046678F" w:rsidRDefault="0046678F" w:rsidP="0046678F">
            <w:pPr>
              <w:rPr>
                <w:sz w:val="20"/>
                <w:szCs w:val="20"/>
              </w:rPr>
            </w:pPr>
            <w:r w:rsidRPr="0046678F">
              <w:rPr>
                <w:sz w:val="20"/>
                <w:szCs w:val="20"/>
              </w:rPr>
              <w:t>R7.Ground Source Heat Pump Study (impact &amp; Mkt assess) (D)</w:t>
            </w:r>
          </w:p>
          <w:p w14:paraId="5CFF726C" w14:textId="77777777" w:rsidR="0046678F" w:rsidRPr="0046678F" w:rsidRDefault="0046678F" w:rsidP="0046678F">
            <w:pPr>
              <w:rPr>
                <w:sz w:val="20"/>
                <w:szCs w:val="20"/>
              </w:rPr>
            </w:pPr>
            <w:r w:rsidRPr="0046678F">
              <w:rPr>
                <w:sz w:val="20"/>
                <w:szCs w:val="20"/>
              </w:rPr>
              <w:t>R8.Central Air Conditioning - 2 year project (D)</w:t>
            </w:r>
          </w:p>
          <w:p w14:paraId="4ED582E2" w14:textId="77777777" w:rsidR="0046678F" w:rsidRPr="0046678F" w:rsidRDefault="0046678F" w:rsidP="0046678F">
            <w:pPr>
              <w:rPr>
                <w:sz w:val="20"/>
                <w:szCs w:val="20"/>
              </w:rPr>
            </w:pPr>
            <w:r w:rsidRPr="0046678F">
              <w:rPr>
                <w:sz w:val="20"/>
                <w:szCs w:val="20"/>
              </w:rPr>
              <w:t>C9. Small Business impact Study (L)</w:t>
            </w:r>
          </w:p>
          <w:p w14:paraId="700AF649" w14:textId="77777777" w:rsidR="0046678F" w:rsidRPr="0046678F" w:rsidRDefault="0046678F" w:rsidP="0046678F">
            <w:pPr>
              <w:rPr>
                <w:sz w:val="20"/>
                <w:szCs w:val="20"/>
              </w:rPr>
            </w:pPr>
            <w:r w:rsidRPr="0046678F">
              <w:rPr>
                <w:sz w:val="20"/>
                <w:szCs w:val="20"/>
              </w:rPr>
              <w:t>C10. Small Business Data Mining Study (L)</w:t>
            </w:r>
          </w:p>
          <w:p w14:paraId="6F9734B8" w14:textId="77777777" w:rsidR="0046678F" w:rsidRPr="0046678F" w:rsidRDefault="0046678F" w:rsidP="0046678F">
            <w:pPr>
              <w:rPr>
                <w:sz w:val="20"/>
                <w:szCs w:val="20"/>
              </w:rPr>
            </w:pPr>
            <w:r w:rsidRPr="0046678F">
              <w:rPr>
                <w:sz w:val="20"/>
                <w:szCs w:val="20"/>
              </w:rPr>
              <w:t xml:space="preserve">C11. Small Business Barriers Study focusing on program cancellations, financing and repeat participation </w:t>
            </w:r>
          </w:p>
          <w:p w14:paraId="16CE6DC2" w14:textId="77777777" w:rsidR="0046678F" w:rsidRPr="0046678F" w:rsidRDefault="0046678F" w:rsidP="0046678F">
            <w:pPr>
              <w:rPr>
                <w:sz w:val="20"/>
                <w:szCs w:val="20"/>
              </w:rPr>
            </w:pPr>
            <w:r w:rsidRPr="0046678F">
              <w:rPr>
                <w:sz w:val="20"/>
                <w:szCs w:val="20"/>
              </w:rPr>
              <w:t>C12. Small Business Barriers Study focusing on Ltd English / Low Income  (L)</w:t>
            </w:r>
          </w:p>
          <w:p w14:paraId="08556925" w14:textId="77777777" w:rsidR="0046678F" w:rsidRPr="0046678F" w:rsidRDefault="0046678F" w:rsidP="0046678F">
            <w:pPr>
              <w:rPr>
                <w:sz w:val="20"/>
                <w:szCs w:val="20"/>
              </w:rPr>
            </w:pPr>
            <w:r w:rsidRPr="0046678F">
              <w:rPr>
                <w:sz w:val="20"/>
                <w:szCs w:val="20"/>
              </w:rPr>
              <w:t>C13.Lge C&amp;I Quick Start Market Assessment/Trend Analy (L).</w:t>
            </w:r>
          </w:p>
          <w:p w14:paraId="4FAF76B9" w14:textId="77777777" w:rsidR="0046678F" w:rsidRPr="0046678F" w:rsidRDefault="0046678F" w:rsidP="0046678F">
            <w:pPr>
              <w:rPr>
                <w:sz w:val="20"/>
                <w:szCs w:val="20"/>
              </w:rPr>
            </w:pPr>
            <w:r w:rsidRPr="0046678F">
              <w:rPr>
                <w:sz w:val="20"/>
                <w:szCs w:val="20"/>
              </w:rPr>
              <w:t>C14.EO Impact and Process Evaluation (L)</w:t>
            </w:r>
          </w:p>
          <w:p w14:paraId="196A7F96" w14:textId="77777777" w:rsidR="0046678F" w:rsidRPr="0046678F" w:rsidRDefault="0046678F" w:rsidP="0046678F">
            <w:pPr>
              <w:rPr>
                <w:sz w:val="20"/>
                <w:szCs w:val="20"/>
              </w:rPr>
            </w:pPr>
            <w:r w:rsidRPr="0046678F">
              <w:rPr>
                <w:sz w:val="20"/>
                <w:szCs w:val="20"/>
              </w:rPr>
              <w:t>R15.Potential for Res. Measures in SF Homes: Follow-on to Weatherization Study (S)</w:t>
            </w:r>
          </w:p>
          <w:p w14:paraId="25AD51F2" w14:textId="77777777" w:rsidR="0046678F" w:rsidRPr="0046678F" w:rsidRDefault="0046678F" w:rsidP="0046678F">
            <w:pPr>
              <w:rPr>
                <w:sz w:val="20"/>
                <w:szCs w:val="20"/>
              </w:rPr>
            </w:pPr>
            <w:r w:rsidRPr="0046678F">
              <w:rPr>
                <w:sz w:val="20"/>
                <w:szCs w:val="20"/>
              </w:rPr>
              <w:t>R16. HES/HES-IE Impact Evaluation study (S)</w:t>
            </w:r>
          </w:p>
          <w:p w14:paraId="052D6A17" w14:textId="77777777" w:rsidR="0046678F" w:rsidRPr="0046678F" w:rsidRDefault="0046678F" w:rsidP="0046678F">
            <w:pPr>
              <w:rPr>
                <w:sz w:val="20"/>
                <w:szCs w:val="20"/>
              </w:rPr>
            </w:pPr>
            <w:r w:rsidRPr="0046678F">
              <w:rPr>
                <w:sz w:val="20"/>
                <w:szCs w:val="20"/>
              </w:rPr>
              <w:t>C17. C&amp;I Market Assessment (L)</w:t>
            </w:r>
          </w:p>
          <w:p w14:paraId="3A4B982C" w14:textId="77777777" w:rsidR="0046678F" w:rsidRPr="0046678F" w:rsidRDefault="0046678F" w:rsidP="0046678F">
            <w:pPr>
              <w:rPr>
                <w:sz w:val="20"/>
                <w:szCs w:val="20"/>
              </w:rPr>
            </w:pPr>
            <w:r w:rsidRPr="0046678F">
              <w:rPr>
                <w:sz w:val="20"/>
                <w:szCs w:val="20"/>
              </w:rPr>
              <w:t>C18. SBEA Process Evaluation (L)</w:t>
            </w:r>
          </w:p>
          <w:p w14:paraId="0119A316" w14:textId="77777777" w:rsidR="0046678F" w:rsidRPr="0046678F" w:rsidRDefault="0046678F" w:rsidP="0046678F">
            <w:pPr>
              <w:rPr>
                <w:sz w:val="20"/>
                <w:szCs w:val="20"/>
              </w:rPr>
            </w:pPr>
            <w:r w:rsidRPr="0046678F">
              <w:rPr>
                <w:sz w:val="20"/>
                <w:szCs w:val="20"/>
              </w:rPr>
              <w:t>C19. C&amp;I New Construction and Code Compliance Baseline Study(L)</w:t>
            </w:r>
          </w:p>
          <w:p w14:paraId="4F9220F6" w14:textId="77777777" w:rsidR="0046678F" w:rsidRPr="0046678F" w:rsidRDefault="0046678F" w:rsidP="0046678F">
            <w:pPr>
              <w:rPr>
                <w:sz w:val="20"/>
                <w:szCs w:val="20"/>
              </w:rPr>
            </w:pPr>
            <w:r w:rsidRPr="0046678F">
              <w:rPr>
                <w:sz w:val="20"/>
                <w:szCs w:val="20"/>
              </w:rPr>
              <w:t>R31 Real Time Data Collection(S)</w:t>
            </w:r>
          </w:p>
          <w:p w14:paraId="34077062" w14:textId="77777777" w:rsidR="0046678F" w:rsidRPr="0046678F" w:rsidRDefault="0046678F" w:rsidP="0046678F">
            <w:pPr>
              <w:rPr>
                <w:sz w:val="20"/>
                <w:szCs w:val="20"/>
              </w:rPr>
            </w:pPr>
            <w:r w:rsidRPr="0046678F">
              <w:rPr>
                <w:sz w:val="20"/>
                <w:szCs w:val="20"/>
              </w:rPr>
              <w:t>R32. CL&amp;P Behavior Year 2 (Opower program) (S)</w:t>
            </w:r>
          </w:p>
          <w:p w14:paraId="1C6F3DF0" w14:textId="77777777" w:rsidR="0046678F" w:rsidRPr="0046678F" w:rsidRDefault="0046678F" w:rsidP="0046678F">
            <w:pPr>
              <w:rPr>
                <w:sz w:val="20"/>
                <w:szCs w:val="20"/>
              </w:rPr>
            </w:pPr>
            <w:r w:rsidRPr="0046678F">
              <w:rPr>
                <w:sz w:val="20"/>
                <w:szCs w:val="20"/>
              </w:rPr>
              <w:t>R33. Database Improvement(S)</w:t>
            </w:r>
          </w:p>
          <w:p w14:paraId="72A7EDF6" w14:textId="77777777" w:rsidR="0046678F" w:rsidRPr="0046678F" w:rsidRDefault="0046678F" w:rsidP="0046678F">
            <w:pPr>
              <w:rPr>
                <w:sz w:val="20"/>
                <w:szCs w:val="20"/>
              </w:rPr>
            </w:pPr>
            <w:r w:rsidRPr="0046678F">
              <w:rPr>
                <w:sz w:val="20"/>
                <w:szCs w:val="20"/>
              </w:rPr>
              <w:t>R46 Financing Evaluations</w:t>
            </w:r>
          </w:p>
          <w:p w14:paraId="2F60E50A" w14:textId="77777777" w:rsidR="0046678F" w:rsidRPr="0046678F" w:rsidRDefault="0046678F" w:rsidP="0046678F">
            <w:pPr>
              <w:rPr>
                <w:sz w:val="20"/>
                <w:szCs w:val="20"/>
              </w:rPr>
            </w:pPr>
            <w:r w:rsidRPr="0046678F">
              <w:rPr>
                <w:sz w:val="20"/>
                <w:szCs w:val="20"/>
              </w:rPr>
              <w:t>R48 Market Assessment for HES Measures(D)</w:t>
            </w:r>
          </w:p>
          <w:p w14:paraId="333F6F0D" w14:textId="77777777" w:rsidR="0046678F" w:rsidRPr="0046678F" w:rsidRDefault="0046678F" w:rsidP="0046678F">
            <w:pPr>
              <w:rPr>
                <w:sz w:val="20"/>
                <w:szCs w:val="20"/>
              </w:rPr>
            </w:pPr>
            <w:r w:rsidRPr="0046678F">
              <w:rPr>
                <w:sz w:val="20"/>
                <w:szCs w:val="20"/>
              </w:rPr>
              <w:t>R67. Lighting Interactive Effects</w:t>
            </w:r>
          </w:p>
          <w:p w14:paraId="239404F7" w14:textId="77777777" w:rsidR="0046678F" w:rsidRPr="0046678F" w:rsidRDefault="0046678F" w:rsidP="0046678F">
            <w:pPr>
              <w:rPr>
                <w:sz w:val="20"/>
                <w:szCs w:val="20"/>
              </w:rPr>
            </w:pPr>
            <w:r w:rsidRPr="0046678F">
              <w:rPr>
                <w:sz w:val="20"/>
                <w:szCs w:val="20"/>
              </w:rPr>
              <w:t>R84 Consumer Electronics Potential(D)</w:t>
            </w:r>
          </w:p>
          <w:p w14:paraId="008F36E6" w14:textId="77777777" w:rsidR="0046678F" w:rsidRPr="0046678F" w:rsidRDefault="0046678F" w:rsidP="0046678F">
            <w:pPr>
              <w:rPr>
                <w:sz w:val="20"/>
                <w:szCs w:val="20"/>
              </w:rPr>
            </w:pPr>
            <w:r w:rsidRPr="0046678F">
              <w:rPr>
                <w:sz w:val="20"/>
                <w:szCs w:val="20"/>
              </w:rPr>
              <w:t>R86. LED Mkt Assessment &amp; Lighting NTG (D)</w:t>
            </w:r>
          </w:p>
          <w:p w14:paraId="7B8415DE" w14:textId="77777777" w:rsidR="0046678F" w:rsidRPr="0046678F" w:rsidRDefault="0046678F" w:rsidP="0046678F">
            <w:pPr>
              <w:rPr>
                <w:sz w:val="20"/>
                <w:szCs w:val="20"/>
              </w:rPr>
            </w:pPr>
          </w:p>
        </w:tc>
        <w:tc>
          <w:tcPr>
            <w:tcW w:w="5035" w:type="dxa"/>
          </w:tcPr>
          <w:p w14:paraId="7F767B2C" w14:textId="77777777" w:rsidR="0046678F" w:rsidRPr="0046678F" w:rsidRDefault="0046678F" w:rsidP="0046678F">
            <w:pPr>
              <w:rPr>
                <w:sz w:val="20"/>
                <w:szCs w:val="20"/>
              </w:rPr>
            </w:pPr>
            <w:r w:rsidRPr="0046678F">
              <w:rPr>
                <w:sz w:val="20"/>
                <w:szCs w:val="20"/>
              </w:rPr>
              <w:t>R91. Engineering Disconnect (Residential study drilling down on billing analysis / engineering options and results differences)</w:t>
            </w:r>
          </w:p>
          <w:p w14:paraId="7F604EE7" w14:textId="77777777" w:rsidR="0046678F" w:rsidRPr="0046678F" w:rsidRDefault="0046678F" w:rsidP="0046678F">
            <w:pPr>
              <w:rPr>
                <w:sz w:val="20"/>
                <w:szCs w:val="20"/>
              </w:rPr>
            </w:pPr>
            <w:r w:rsidRPr="0046678F">
              <w:rPr>
                <w:sz w:val="20"/>
                <w:szCs w:val="20"/>
              </w:rPr>
              <w:t>R113. Ductless Heat Pump Impact Evaluation</w:t>
            </w:r>
          </w:p>
          <w:p w14:paraId="2CBFE0F1" w14:textId="77777777" w:rsidR="0046678F" w:rsidRPr="0046678F" w:rsidRDefault="0046678F" w:rsidP="0046678F">
            <w:pPr>
              <w:rPr>
                <w:sz w:val="20"/>
                <w:szCs w:val="20"/>
              </w:rPr>
            </w:pPr>
            <w:r w:rsidRPr="0046678F">
              <w:rPr>
                <w:sz w:val="20"/>
                <w:szCs w:val="20"/>
              </w:rPr>
              <w:t>R151. HES Air Sealing, Duct Sealing, and Insulation Practices Study</w:t>
            </w:r>
          </w:p>
          <w:p w14:paraId="58253C1D" w14:textId="77777777" w:rsidR="0046678F" w:rsidRPr="0046678F" w:rsidRDefault="0046678F" w:rsidP="0046678F">
            <w:pPr>
              <w:rPr>
                <w:sz w:val="20"/>
                <w:szCs w:val="20"/>
              </w:rPr>
            </w:pPr>
            <w:r w:rsidRPr="0046678F">
              <w:rPr>
                <w:sz w:val="20"/>
                <w:szCs w:val="20"/>
              </w:rPr>
              <w:t>R152. Process Evaluation of Community Based Programs</w:t>
            </w:r>
          </w:p>
          <w:p w14:paraId="27801814" w14:textId="77777777" w:rsidR="0046678F" w:rsidRPr="0046678F" w:rsidRDefault="0046678F" w:rsidP="0046678F">
            <w:pPr>
              <w:rPr>
                <w:sz w:val="20"/>
                <w:szCs w:val="20"/>
              </w:rPr>
            </w:pPr>
            <w:r w:rsidRPr="0046678F">
              <w:rPr>
                <w:sz w:val="20"/>
                <w:szCs w:val="20"/>
              </w:rPr>
              <w:t>R154. Lighting Onsites</w:t>
            </w:r>
          </w:p>
          <w:p w14:paraId="78286E2F" w14:textId="77777777" w:rsidR="0046678F" w:rsidRPr="0046678F" w:rsidRDefault="0046678F" w:rsidP="0046678F">
            <w:pPr>
              <w:rPr>
                <w:sz w:val="20"/>
                <w:szCs w:val="20"/>
              </w:rPr>
            </w:pPr>
            <w:r w:rsidRPr="0046678F">
              <w:rPr>
                <w:sz w:val="20"/>
                <w:szCs w:val="20"/>
              </w:rPr>
              <w:t>R157. Multifamily Process</w:t>
            </w:r>
          </w:p>
          <w:p w14:paraId="421806BF" w14:textId="77777777" w:rsidR="0046678F" w:rsidRPr="0046678F" w:rsidRDefault="0046678F" w:rsidP="0046678F">
            <w:pPr>
              <w:rPr>
                <w:sz w:val="20"/>
                <w:szCs w:val="20"/>
              </w:rPr>
            </w:pPr>
            <w:r w:rsidRPr="0046678F">
              <w:rPr>
                <w:sz w:val="20"/>
                <w:szCs w:val="20"/>
              </w:rPr>
              <w:t>C1630 Largest Energy &amp; Demand Savers Evaluation</w:t>
            </w:r>
          </w:p>
          <w:p w14:paraId="2EC7A907" w14:textId="77777777" w:rsidR="0046678F" w:rsidRPr="0046678F" w:rsidRDefault="0046678F" w:rsidP="0046678F">
            <w:pPr>
              <w:rPr>
                <w:sz w:val="20"/>
                <w:szCs w:val="20"/>
              </w:rPr>
            </w:pPr>
            <w:r w:rsidRPr="0046678F">
              <w:rPr>
                <w:sz w:val="20"/>
                <w:szCs w:val="20"/>
              </w:rPr>
              <w:t>C1639. SBEA Impact &amp; Process Evaluation</w:t>
            </w:r>
          </w:p>
          <w:p w14:paraId="3CAC2AA4" w14:textId="77777777" w:rsidR="0046678F" w:rsidRPr="0046678F" w:rsidRDefault="0046678F" w:rsidP="0046678F">
            <w:pPr>
              <w:rPr>
                <w:sz w:val="20"/>
                <w:szCs w:val="20"/>
              </w:rPr>
            </w:pPr>
            <w:r w:rsidRPr="0046678F">
              <w:rPr>
                <w:sz w:val="20"/>
                <w:szCs w:val="20"/>
              </w:rPr>
              <w:t>C1641.  BES and PRIME Impact Evaluation</w:t>
            </w:r>
          </w:p>
          <w:p w14:paraId="33EC98CA" w14:textId="77777777" w:rsidR="0046678F" w:rsidRPr="0046678F" w:rsidRDefault="0046678F" w:rsidP="0046678F">
            <w:pPr>
              <w:rPr>
                <w:sz w:val="20"/>
                <w:szCs w:val="20"/>
              </w:rPr>
            </w:pPr>
            <w:r w:rsidRPr="0046678F">
              <w:rPr>
                <w:sz w:val="20"/>
                <w:szCs w:val="20"/>
              </w:rPr>
              <w:t>C1634. ECB Impact Eval</w:t>
            </w:r>
          </w:p>
          <w:p w14:paraId="16AE549A" w14:textId="77777777" w:rsidR="0046678F" w:rsidRPr="0046678F" w:rsidRDefault="0046678F" w:rsidP="0046678F">
            <w:pPr>
              <w:rPr>
                <w:sz w:val="20"/>
                <w:szCs w:val="20"/>
              </w:rPr>
            </w:pPr>
            <w:r w:rsidRPr="0046678F">
              <w:rPr>
                <w:sz w:val="20"/>
                <w:szCs w:val="20"/>
              </w:rPr>
              <w:t>C1635. EO Impact Eval</w:t>
            </w:r>
          </w:p>
          <w:p w14:paraId="38F05BE8" w14:textId="77777777" w:rsidR="0046678F" w:rsidRPr="0046678F" w:rsidRDefault="0046678F" w:rsidP="0046678F">
            <w:pPr>
              <w:rPr>
                <w:sz w:val="20"/>
                <w:szCs w:val="20"/>
              </w:rPr>
            </w:pPr>
            <w:r w:rsidRPr="0046678F">
              <w:rPr>
                <w:sz w:val="20"/>
                <w:szCs w:val="20"/>
              </w:rPr>
              <w:t>C1644. EO Baseline &amp; NTG</w:t>
            </w:r>
          </w:p>
          <w:p w14:paraId="7802A374" w14:textId="77777777" w:rsidR="0046678F" w:rsidRPr="0046678F" w:rsidRDefault="0046678F" w:rsidP="0046678F">
            <w:pPr>
              <w:rPr>
                <w:sz w:val="20"/>
                <w:szCs w:val="20"/>
              </w:rPr>
            </w:pPr>
            <w:r w:rsidRPr="0046678F">
              <w:rPr>
                <w:sz w:val="20"/>
                <w:szCs w:val="20"/>
              </w:rPr>
              <w:t>R1602. RNC Billing Analysis, Process Evaluation, and Baseline</w:t>
            </w:r>
          </w:p>
          <w:p w14:paraId="1845809F" w14:textId="77777777" w:rsidR="0046678F" w:rsidRPr="0046678F" w:rsidRDefault="0046678F" w:rsidP="0046678F">
            <w:pPr>
              <w:rPr>
                <w:sz w:val="20"/>
                <w:szCs w:val="20"/>
              </w:rPr>
            </w:pPr>
            <w:r w:rsidRPr="0046678F">
              <w:rPr>
                <w:sz w:val="20"/>
                <w:szCs w:val="20"/>
              </w:rPr>
              <w:t>R1606. HER Behavioral Program Impact Persistence (Opower program) (follow-on to R32)</w:t>
            </w:r>
          </w:p>
          <w:p w14:paraId="3D640165" w14:textId="77777777" w:rsidR="0046678F" w:rsidRPr="0046678F" w:rsidRDefault="0046678F" w:rsidP="0046678F">
            <w:pPr>
              <w:rPr>
                <w:sz w:val="20"/>
                <w:szCs w:val="20"/>
              </w:rPr>
            </w:pPr>
            <w:r w:rsidRPr="0046678F">
              <w:rPr>
                <w:sz w:val="20"/>
                <w:szCs w:val="20"/>
              </w:rPr>
              <w:t>R1613/1614. Residential HVAC and Hot Water Program, Impact and Process Evaluation and Residential Heat Pump Water Heater Impact Evaluation (LS&amp;RW)</w:t>
            </w:r>
          </w:p>
          <w:p w14:paraId="40964AEB" w14:textId="77777777" w:rsidR="0046678F" w:rsidRPr="0046678F" w:rsidRDefault="0046678F" w:rsidP="0046678F">
            <w:pPr>
              <w:rPr>
                <w:sz w:val="20"/>
                <w:szCs w:val="20"/>
              </w:rPr>
            </w:pPr>
            <w:r w:rsidRPr="0046678F">
              <w:rPr>
                <w:sz w:val="20"/>
                <w:szCs w:val="20"/>
              </w:rPr>
              <w:t>R1615. LED NTG</w:t>
            </w:r>
          </w:p>
          <w:p w14:paraId="60C5014C" w14:textId="77777777" w:rsidR="0046678F" w:rsidRPr="0046678F" w:rsidRDefault="0046678F" w:rsidP="0046678F">
            <w:pPr>
              <w:rPr>
                <w:sz w:val="20"/>
                <w:szCs w:val="20"/>
              </w:rPr>
            </w:pPr>
            <w:r w:rsidRPr="0046678F">
              <w:rPr>
                <w:sz w:val="20"/>
                <w:szCs w:val="20"/>
              </w:rPr>
              <w:t>R1616/R1708. Residential Lighting Impact Saturation Study</w:t>
            </w:r>
          </w:p>
          <w:p w14:paraId="00CF97FB" w14:textId="77777777" w:rsidR="0046678F" w:rsidRPr="0046678F" w:rsidRDefault="0046678F" w:rsidP="0046678F">
            <w:pPr>
              <w:rPr>
                <w:sz w:val="20"/>
                <w:szCs w:val="20"/>
              </w:rPr>
            </w:pPr>
            <w:r w:rsidRPr="0046678F">
              <w:rPr>
                <w:sz w:val="20"/>
                <w:szCs w:val="20"/>
              </w:rPr>
              <w:t>R1617. Residential Ductless Heat Pumps / Cold Climate Heat Pump Measure Cost-effectiveness and Effects</w:t>
            </w:r>
          </w:p>
          <w:p w14:paraId="370623B8" w14:textId="77777777" w:rsidR="0046678F" w:rsidRPr="0046678F" w:rsidRDefault="0046678F" w:rsidP="0046678F">
            <w:pPr>
              <w:rPr>
                <w:sz w:val="20"/>
                <w:szCs w:val="20"/>
              </w:rPr>
            </w:pPr>
            <w:r w:rsidRPr="0046678F">
              <w:rPr>
                <w:sz w:val="20"/>
                <w:szCs w:val="20"/>
              </w:rPr>
              <w:t>R1702/R1710. Codes and Standards Assessment</w:t>
            </w:r>
          </w:p>
          <w:p w14:paraId="019511C8" w14:textId="77777777" w:rsidR="0046678F" w:rsidRPr="0046678F" w:rsidRDefault="0046678F" w:rsidP="0046678F">
            <w:pPr>
              <w:rPr>
                <w:sz w:val="20"/>
                <w:szCs w:val="20"/>
              </w:rPr>
            </w:pPr>
            <w:r w:rsidRPr="0046678F">
              <w:rPr>
                <w:sz w:val="20"/>
                <w:szCs w:val="20"/>
              </w:rPr>
              <w:t>R1706. Residential Appliance Saturation Survey</w:t>
            </w:r>
          </w:p>
          <w:p w14:paraId="4ED7CC9E" w14:textId="77777777" w:rsidR="0046678F" w:rsidRPr="0046678F" w:rsidRDefault="0046678F" w:rsidP="0046678F">
            <w:pPr>
              <w:rPr>
                <w:sz w:val="20"/>
                <w:szCs w:val="20"/>
              </w:rPr>
            </w:pPr>
            <w:r w:rsidRPr="0046678F">
              <w:rPr>
                <w:sz w:val="20"/>
                <w:szCs w:val="20"/>
              </w:rPr>
              <w:t>R1707. NTG Study of Residential New Construction</w:t>
            </w:r>
          </w:p>
          <w:p w14:paraId="47D1B49F" w14:textId="77777777" w:rsidR="0046678F" w:rsidRPr="0046678F" w:rsidRDefault="0046678F" w:rsidP="0046678F">
            <w:pPr>
              <w:rPr>
                <w:sz w:val="20"/>
                <w:szCs w:val="20"/>
              </w:rPr>
            </w:pPr>
            <w:r w:rsidRPr="0046678F">
              <w:rPr>
                <w:sz w:val="20"/>
                <w:szCs w:val="20"/>
              </w:rPr>
              <w:t>R1709. Non-Energy Impacts (res &amp; com’l)</w:t>
            </w:r>
          </w:p>
          <w:p w14:paraId="530B1A4B" w14:textId="77777777" w:rsidR="0046678F" w:rsidRPr="0046678F" w:rsidRDefault="0046678F" w:rsidP="0046678F">
            <w:pPr>
              <w:rPr>
                <w:sz w:val="20"/>
                <w:szCs w:val="20"/>
              </w:rPr>
            </w:pPr>
            <w:r w:rsidRPr="0046678F">
              <w:rPr>
                <w:sz w:val="20"/>
                <w:szCs w:val="20"/>
              </w:rPr>
              <w:t>R1603. HES Impact Eval</w:t>
            </w:r>
          </w:p>
          <w:p w14:paraId="6BFC839D" w14:textId="77777777" w:rsidR="0046678F" w:rsidRPr="0046678F" w:rsidRDefault="0046678F" w:rsidP="0046678F">
            <w:pPr>
              <w:rPr>
                <w:sz w:val="20"/>
                <w:szCs w:val="20"/>
              </w:rPr>
            </w:pPr>
            <w:r w:rsidRPr="0046678F">
              <w:rPr>
                <w:sz w:val="20"/>
                <w:szCs w:val="20"/>
              </w:rPr>
              <w:t>R1705/R1609. Multifamily Baseline and Weatherization Study</w:t>
            </w:r>
          </w:p>
          <w:p w14:paraId="1547F238" w14:textId="77777777" w:rsidR="0046678F" w:rsidRPr="0046678F" w:rsidRDefault="0046678F" w:rsidP="0046678F">
            <w:pPr>
              <w:spacing w:after="160" w:line="259" w:lineRule="auto"/>
              <w:rPr>
                <w:sz w:val="20"/>
                <w:szCs w:val="20"/>
              </w:rPr>
            </w:pPr>
          </w:p>
        </w:tc>
      </w:tr>
    </w:tbl>
    <w:p w14:paraId="20A39237" w14:textId="77777777" w:rsidR="0046678F" w:rsidRDefault="0046678F" w:rsidP="0046678F">
      <w:pPr>
        <w:spacing w:after="160" w:line="259" w:lineRule="auto"/>
        <w:rPr>
          <w:sz w:val="22"/>
          <w:szCs w:val="22"/>
        </w:rPr>
      </w:pPr>
    </w:p>
    <w:p w14:paraId="7175428C" w14:textId="77777777" w:rsidR="0046678F" w:rsidRPr="0046678F" w:rsidRDefault="0046678F" w:rsidP="0046678F">
      <w:pPr>
        <w:spacing w:after="160" w:line="259" w:lineRule="auto"/>
        <w:rPr>
          <w:sz w:val="22"/>
          <w:szCs w:val="22"/>
        </w:rPr>
      </w:pPr>
    </w:p>
    <w:sectPr w:rsidR="0046678F" w:rsidRPr="0046678F" w:rsidSect="00635345">
      <w:footerReference w:type="default" r:id="rId9"/>
      <w:pgSz w:w="12240" w:h="15840"/>
      <w:pgMar w:top="1296" w:right="1080" w:bottom="1008"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B52BC" w14:textId="77777777" w:rsidR="0022115E" w:rsidRDefault="0022115E" w:rsidP="00635345">
      <w:r>
        <w:separator/>
      </w:r>
    </w:p>
  </w:endnote>
  <w:endnote w:type="continuationSeparator" w:id="0">
    <w:p w14:paraId="40964B61" w14:textId="77777777" w:rsidR="0022115E" w:rsidRDefault="0022115E" w:rsidP="00635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5938637"/>
      <w:docPartObj>
        <w:docPartGallery w:val="Page Numbers (Bottom of Page)"/>
        <w:docPartUnique/>
      </w:docPartObj>
    </w:sdtPr>
    <w:sdtEndPr>
      <w:rPr>
        <w:color w:val="7F7F7F" w:themeColor="background1" w:themeShade="7F"/>
        <w:spacing w:val="60"/>
      </w:rPr>
    </w:sdtEndPr>
    <w:sdtContent>
      <w:p w14:paraId="4B957A92" w14:textId="147019D2" w:rsidR="00635345" w:rsidRDefault="0063534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   Issues Summary for October 2019 Eval Cmte Meeting</w:t>
        </w:r>
      </w:p>
    </w:sdtContent>
  </w:sdt>
  <w:p w14:paraId="165C667B" w14:textId="77777777" w:rsidR="00635345" w:rsidRDefault="00635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D5B2D" w14:textId="77777777" w:rsidR="0022115E" w:rsidRDefault="0022115E" w:rsidP="00635345">
      <w:r>
        <w:separator/>
      </w:r>
    </w:p>
  </w:footnote>
  <w:footnote w:type="continuationSeparator" w:id="0">
    <w:p w14:paraId="751B0350" w14:textId="77777777" w:rsidR="0022115E" w:rsidRDefault="0022115E" w:rsidP="006353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73C27"/>
    <w:multiLevelType w:val="hybridMultilevel"/>
    <w:tmpl w:val="8D9293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3A7338F"/>
    <w:multiLevelType w:val="hybridMultilevel"/>
    <w:tmpl w:val="5616F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FF03F3"/>
    <w:multiLevelType w:val="hybridMultilevel"/>
    <w:tmpl w:val="430EC7F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1B788D"/>
    <w:multiLevelType w:val="hybridMultilevel"/>
    <w:tmpl w:val="26A01B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3A419A"/>
    <w:multiLevelType w:val="hybridMultilevel"/>
    <w:tmpl w:val="D2302D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733A97"/>
    <w:multiLevelType w:val="multilevel"/>
    <w:tmpl w:val="04DCDB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9FE13D5"/>
    <w:multiLevelType w:val="hybridMultilevel"/>
    <w:tmpl w:val="1C60D7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BAB"/>
    <w:rsid w:val="001337F9"/>
    <w:rsid w:val="0017229C"/>
    <w:rsid w:val="0022115E"/>
    <w:rsid w:val="002B7934"/>
    <w:rsid w:val="00392142"/>
    <w:rsid w:val="0046678F"/>
    <w:rsid w:val="00495E44"/>
    <w:rsid w:val="004A1167"/>
    <w:rsid w:val="0054121C"/>
    <w:rsid w:val="00635345"/>
    <w:rsid w:val="006D6BCF"/>
    <w:rsid w:val="006E500F"/>
    <w:rsid w:val="008A095A"/>
    <w:rsid w:val="00944F56"/>
    <w:rsid w:val="0099578D"/>
    <w:rsid w:val="009A6615"/>
    <w:rsid w:val="009B2922"/>
    <w:rsid w:val="00A0623E"/>
    <w:rsid w:val="00AE31D1"/>
    <w:rsid w:val="00B71AE3"/>
    <w:rsid w:val="00C236BB"/>
    <w:rsid w:val="00C71BAB"/>
    <w:rsid w:val="00CA46EE"/>
    <w:rsid w:val="00D97293"/>
    <w:rsid w:val="00E0231B"/>
    <w:rsid w:val="00E142ED"/>
    <w:rsid w:val="00E80916"/>
    <w:rsid w:val="00EC59A2"/>
    <w:rsid w:val="00EE29BC"/>
    <w:rsid w:val="00FA3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FFC8E"/>
  <w15:chartTrackingRefBased/>
  <w15:docId w15:val="{B56886E1-18ED-44C7-88FF-42A445A72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71BAB"/>
    <w:pPr>
      <w:spacing w:after="0" w:line="240" w:lineRule="auto"/>
    </w:pPr>
    <w:rPr>
      <w:rFonts w:ascii="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9BC"/>
    <w:pPr>
      <w:ind w:left="720"/>
      <w:contextualSpacing/>
    </w:pPr>
  </w:style>
  <w:style w:type="paragraph" w:styleId="Header">
    <w:name w:val="header"/>
    <w:basedOn w:val="Normal"/>
    <w:link w:val="HeaderChar"/>
    <w:uiPriority w:val="99"/>
    <w:unhideWhenUsed/>
    <w:rsid w:val="00635345"/>
    <w:pPr>
      <w:tabs>
        <w:tab w:val="center" w:pos="4680"/>
        <w:tab w:val="right" w:pos="9360"/>
      </w:tabs>
    </w:pPr>
  </w:style>
  <w:style w:type="character" w:customStyle="1" w:styleId="HeaderChar">
    <w:name w:val="Header Char"/>
    <w:basedOn w:val="DefaultParagraphFont"/>
    <w:link w:val="Header"/>
    <w:uiPriority w:val="99"/>
    <w:rsid w:val="00635345"/>
    <w:rPr>
      <w:rFonts w:ascii="Calibri" w:hAnsi="Calibri" w:cs="Calibri"/>
      <w:sz w:val="24"/>
      <w:szCs w:val="24"/>
    </w:rPr>
  </w:style>
  <w:style w:type="paragraph" w:styleId="Footer">
    <w:name w:val="footer"/>
    <w:basedOn w:val="Normal"/>
    <w:link w:val="FooterChar"/>
    <w:uiPriority w:val="99"/>
    <w:unhideWhenUsed/>
    <w:rsid w:val="00635345"/>
    <w:pPr>
      <w:tabs>
        <w:tab w:val="center" w:pos="4680"/>
        <w:tab w:val="right" w:pos="9360"/>
      </w:tabs>
    </w:pPr>
  </w:style>
  <w:style w:type="character" w:customStyle="1" w:styleId="FooterChar">
    <w:name w:val="Footer Char"/>
    <w:basedOn w:val="DefaultParagraphFont"/>
    <w:link w:val="Footer"/>
    <w:uiPriority w:val="99"/>
    <w:rsid w:val="00635345"/>
    <w:rPr>
      <w:rFonts w:ascii="Calibri" w:hAnsi="Calibri" w:cs="Calibri"/>
      <w:sz w:val="24"/>
      <w:szCs w:val="24"/>
    </w:rPr>
  </w:style>
  <w:style w:type="character" w:styleId="Hyperlink">
    <w:name w:val="Hyperlink"/>
    <w:basedOn w:val="DefaultParagraphFont"/>
    <w:uiPriority w:val="99"/>
    <w:unhideWhenUsed/>
    <w:rsid w:val="0046678F"/>
    <w:rPr>
      <w:color w:val="0563C1" w:themeColor="hyperlink"/>
      <w:u w:val="single"/>
    </w:rPr>
  </w:style>
  <w:style w:type="table" w:styleId="TableGrid">
    <w:name w:val="Table Grid"/>
    <w:basedOn w:val="TableNormal"/>
    <w:uiPriority w:val="39"/>
    <w:rsid w:val="00466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792029">
      <w:bodyDiv w:val="1"/>
      <w:marLeft w:val="0"/>
      <w:marRight w:val="0"/>
      <w:marTop w:val="0"/>
      <w:marBottom w:val="0"/>
      <w:divBdr>
        <w:top w:val="none" w:sz="0" w:space="0" w:color="auto"/>
        <w:left w:val="none" w:sz="0" w:space="0" w:color="auto"/>
        <w:bottom w:val="none" w:sz="0" w:space="0" w:color="auto"/>
        <w:right w:val="none" w:sz="0" w:space="0" w:color="auto"/>
      </w:divBdr>
    </w:div>
    <w:div w:id="170085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ergizect.com/connecticut-energy-efficiency-board/evaluation-reports" TargetMode="External"/><Relationship Id="rId3" Type="http://schemas.openxmlformats.org/officeDocument/2006/relationships/settings" Target="settings.xml"/><Relationship Id="rId7" Type="http://schemas.openxmlformats.org/officeDocument/2006/relationships/hyperlink" Target="https://www.energizect.com/sites/default/files/CTEvalRoadmap_Final_2014_Updated_Dec201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1566</Words>
  <Characters>8932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Skumatz</dc:creator>
  <cp:keywords/>
  <dc:description/>
  <cp:lastModifiedBy>Craig Diamond</cp:lastModifiedBy>
  <cp:revision>2</cp:revision>
  <dcterms:created xsi:type="dcterms:W3CDTF">2019-10-08T11:05:00Z</dcterms:created>
  <dcterms:modified xsi:type="dcterms:W3CDTF">2019-10-08T11:05:00Z</dcterms:modified>
</cp:coreProperties>
</file>