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6A3153" w14:textId="5B2AE993" w:rsidR="00A9204E" w:rsidRPr="00D75E59" w:rsidRDefault="00D75E59">
      <w:pPr>
        <w:rPr>
          <w:b/>
          <w:bCs/>
          <w:sz w:val="28"/>
          <w:szCs w:val="28"/>
        </w:rPr>
      </w:pPr>
      <w:r w:rsidRPr="00D75E59">
        <w:rPr>
          <w:b/>
          <w:bCs/>
          <w:sz w:val="28"/>
          <w:szCs w:val="28"/>
        </w:rPr>
        <w:t>MEMORANDUM</w:t>
      </w:r>
    </w:p>
    <w:p w14:paraId="184F83D9" w14:textId="3D81CE56" w:rsidR="00D75E59" w:rsidRDefault="00D75E59"/>
    <w:p w14:paraId="37D57D0E" w14:textId="5D9600BE" w:rsidR="00D75E59" w:rsidRDefault="00D75E59">
      <w:r w:rsidRPr="003D7B9C">
        <w:rPr>
          <w:b/>
          <w:bCs/>
        </w:rPr>
        <w:t>Date</w:t>
      </w:r>
      <w:r>
        <w:t xml:space="preserve">: </w:t>
      </w:r>
      <w:r>
        <w:tab/>
      </w:r>
      <w:r w:rsidR="003D7B9C">
        <w:tab/>
      </w:r>
      <w:r>
        <w:t>12/9/19</w:t>
      </w:r>
    </w:p>
    <w:p w14:paraId="63798A5B" w14:textId="48BDBC45" w:rsidR="00D75E59" w:rsidRDefault="00D75E59"/>
    <w:p w14:paraId="31EC7C88" w14:textId="096AB45D" w:rsidR="00D75E59" w:rsidRDefault="00D75E59">
      <w:r w:rsidRPr="003D7B9C">
        <w:rPr>
          <w:b/>
          <w:bCs/>
        </w:rPr>
        <w:t>To</w:t>
      </w:r>
      <w:r>
        <w:t xml:space="preserve">: </w:t>
      </w:r>
      <w:r>
        <w:tab/>
      </w:r>
      <w:r w:rsidR="003D7B9C">
        <w:tab/>
      </w:r>
      <w:r>
        <w:t xml:space="preserve">CT EEB Evaluation Committee </w:t>
      </w:r>
    </w:p>
    <w:p w14:paraId="2C19562B" w14:textId="630B6ABD" w:rsidR="00D75E59" w:rsidRDefault="00D75E59"/>
    <w:p w14:paraId="480ABA90" w14:textId="58F6A6D2" w:rsidR="00D75E59" w:rsidRDefault="00D75E59">
      <w:r w:rsidRPr="003D7B9C">
        <w:rPr>
          <w:b/>
          <w:bCs/>
        </w:rPr>
        <w:t>From</w:t>
      </w:r>
      <w:r>
        <w:t xml:space="preserve">: </w:t>
      </w:r>
      <w:r>
        <w:tab/>
      </w:r>
      <w:r w:rsidR="003D7B9C">
        <w:tab/>
      </w:r>
      <w:r>
        <w:t>EA Team</w:t>
      </w:r>
    </w:p>
    <w:p w14:paraId="2972C919" w14:textId="33999156" w:rsidR="00D75E59" w:rsidRDefault="00D75E59"/>
    <w:p w14:paraId="25694E23" w14:textId="540BBAFE" w:rsidR="00D75E59" w:rsidRDefault="00D75E59">
      <w:r w:rsidRPr="003D7B9C">
        <w:rPr>
          <w:b/>
          <w:bCs/>
        </w:rPr>
        <w:t>Subject</w:t>
      </w:r>
      <w:r>
        <w:t>:</w:t>
      </w:r>
      <w:r>
        <w:tab/>
        <w:t xml:space="preserve">Overview of Evaluation Plan Update </w:t>
      </w:r>
    </w:p>
    <w:p w14:paraId="4023C3E4" w14:textId="371ECFFB" w:rsidR="00D75E59" w:rsidRDefault="00D75E59"/>
    <w:p w14:paraId="341D94F8" w14:textId="6DE8BE31" w:rsidR="00D75E59" w:rsidRDefault="00D75E59"/>
    <w:p w14:paraId="14D53E50" w14:textId="0EFF5F01" w:rsidR="00D75E59" w:rsidRDefault="00D75E59">
      <w:r>
        <w:t>The Adopted Evaluation Plan included the following 21 projects, budgets, and spending pattern.</w:t>
      </w:r>
    </w:p>
    <w:p w14:paraId="3D70DD50" w14:textId="77777777" w:rsidR="004D3067" w:rsidRDefault="004D3067"/>
    <w:p w14:paraId="75EC5DF6" w14:textId="4E08AA0F" w:rsidR="004D3067" w:rsidRDefault="004D3067">
      <w:r>
        <w:t xml:space="preserve">Table 1: Adopted Plan, 2019-21 </w:t>
      </w:r>
    </w:p>
    <w:p w14:paraId="4BF0ACE4" w14:textId="79B68E88" w:rsidR="00D75E59" w:rsidRDefault="00D75E59">
      <w:r w:rsidRPr="00580808">
        <w:rPr>
          <w:noProof/>
        </w:rPr>
        <w:drawing>
          <wp:inline distT="0" distB="0" distL="0" distR="0" wp14:anchorId="6B86F908" wp14:editId="340C8B0A">
            <wp:extent cx="3786448" cy="3886509"/>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98612" cy="3898994"/>
                    </a:xfrm>
                    <a:prstGeom prst="rect">
                      <a:avLst/>
                    </a:prstGeom>
                    <a:noFill/>
                    <a:ln>
                      <a:noFill/>
                    </a:ln>
                  </pic:spPr>
                </pic:pic>
              </a:graphicData>
            </a:graphic>
          </wp:inline>
        </w:drawing>
      </w:r>
    </w:p>
    <w:p w14:paraId="17A39EDC" w14:textId="5F52B697" w:rsidR="00D75E59" w:rsidRDefault="00D75E59"/>
    <w:p w14:paraId="0333969A" w14:textId="6D2539F4" w:rsidR="00D75E59" w:rsidRDefault="00D75E59"/>
    <w:p w14:paraId="482D45B2" w14:textId="19C3B1E2" w:rsidR="00D75E59" w:rsidRDefault="00685914">
      <w:r>
        <w:t xml:space="preserve">The Adopted Three-Year Evaluation Plan totals $7.93 million in projects.  </w:t>
      </w:r>
      <w:r w:rsidR="00D75E59">
        <w:t>In 2019, RFPs were issued, contractors selected, and contracts were let for the projects that were planned to start in 2019.  This includes the following list of projects.</w:t>
      </w:r>
      <w:r w:rsidR="00D75E59">
        <w:rPr>
          <w:rStyle w:val="FootnoteReference"/>
        </w:rPr>
        <w:footnoteReference w:id="1"/>
      </w:r>
      <w:r w:rsidR="00D75E59">
        <w:t xml:space="preserve">  </w:t>
      </w:r>
    </w:p>
    <w:p w14:paraId="7E469254" w14:textId="6FD78CC8" w:rsidR="00D75E59" w:rsidRDefault="00D75E59"/>
    <w:p w14:paraId="3B40D6BB" w14:textId="2974C5BB" w:rsidR="00D75E59" w:rsidRDefault="004D3067">
      <w:r>
        <w:t>Table 2:  Projects Contracted 2019</w:t>
      </w:r>
    </w:p>
    <w:tbl>
      <w:tblPr>
        <w:tblW w:w="5909" w:type="dxa"/>
        <w:tblLook w:val="04A0" w:firstRow="1" w:lastRow="0" w:firstColumn="1" w:lastColumn="0" w:noHBand="0" w:noVBand="1"/>
      </w:tblPr>
      <w:tblGrid>
        <w:gridCol w:w="1042"/>
        <w:gridCol w:w="2913"/>
        <w:gridCol w:w="976"/>
        <w:gridCol w:w="1227"/>
      </w:tblGrid>
      <w:tr w:rsidR="00685914" w:rsidRPr="00685914" w14:paraId="284B21B3" w14:textId="77777777" w:rsidTr="00685914">
        <w:trPr>
          <w:trHeight w:val="540"/>
        </w:trPr>
        <w:tc>
          <w:tcPr>
            <w:tcW w:w="1042" w:type="dxa"/>
            <w:tcBorders>
              <w:top w:val="single" w:sz="4" w:space="0" w:color="auto"/>
              <w:left w:val="single" w:sz="4" w:space="0" w:color="auto"/>
              <w:bottom w:val="single" w:sz="4" w:space="0" w:color="auto"/>
              <w:right w:val="single" w:sz="4" w:space="0" w:color="auto"/>
            </w:tcBorders>
            <w:shd w:val="clear" w:color="000000" w:fill="DDEBF7"/>
            <w:vAlign w:val="bottom"/>
            <w:hideMark/>
          </w:tcPr>
          <w:p w14:paraId="6B0D2900"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Firm</w:t>
            </w:r>
          </w:p>
        </w:tc>
        <w:tc>
          <w:tcPr>
            <w:tcW w:w="2913" w:type="dxa"/>
            <w:tcBorders>
              <w:top w:val="single" w:sz="4" w:space="0" w:color="auto"/>
              <w:left w:val="nil"/>
              <w:bottom w:val="single" w:sz="4" w:space="0" w:color="auto"/>
              <w:right w:val="single" w:sz="4" w:space="0" w:color="auto"/>
            </w:tcBorders>
            <w:shd w:val="clear" w:color="000000" w:fill="DDEBF7"/>
            <w:vAlign w:val="bottom"/>
            <w:hideMark/>
          </w:tcPr>
          <w:p w14:paraId="72EADF35" w14:textId="77777777" w:rsidR="00685914" w:rsidRPr="00685914" w:rsidRDefault="00685914" w:rsidP="00685914">
            <w:pPr>
              <w:rPr>
                <w:rFonts w:ascii="Calibri" w:eastAsia="Times New Roman" w:hAnsi="Calibri" w:cs="Calibri"/>
                <w:color w:val="000000"/>
                <w:sz w:val="20"/>
                <w:szCs w:val="20"/>
              </w:rPr>
            </w:pPr>
            <w:proofErr w:type="spellStart"/>
            <w:r w:rsidRPr="00685914">
              <w:rPr>
                <w:rFonts w:ascii="Calibri" w:eastAsia="Times New Roman" w:hAnsi="Calibri" w:cs="Calibri"/>
                <w:color w:val="000000"/>
                <w:sz w:val="20"/>
                <w:szCs w:val="20"/>
              </w:rPr>
              <w:t>Proj</w:t>
            </w:r>
            <w:proofErr w:type="spellEnd"/>
          </w:p>
        </w:tc>
        <w:tc>
          <w:tcPr>
            <w:tcW w:w="827" w:type="dxa"/>
            <w:tcBorders>
              <w:top w:val="single" w:sz="4" w:space="0" w:color="auto"/>
              <w:left w:val="nil"/>
              <w:bottom w:val="single" w:sz="4" w:space="0" w:color="auto"/>
              <w:right w:val="single" w:sz="4" w:space="0" w:color="auto"/>
            </w:tcBorders>
            <w:shd w:val="clear" w:color="000000" w:fill="A9D08E"/>
            <w:vAlign w:val="bottom"/>
            <w:hideMark/>
          </w:tcPr>
          <w:p w14:paraId="3781EEEA"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Budget</w:t>
            </w:r>
          </w:p>
        </w:tc>
        <w:tc>
          <w:tcPr>
            <w:tcW w:w="1127" w:type="dxa"/>
            <w:tcBorders>
              <w:top w:val="nil"/>
              <w:left w:val="nil"/>
              <w:bottom w:val="nil"/>
              <w:right w:val="nil"/>
            </w:tcBorders>
            <w:shd w:val="clear" w:color="auto" w:fill="auto"/>
            <w:vAlign w:val="bottom"/>
            <w:hideMark/>
          </w:tcPr>
          <w:p w14:paraId="0EB747D3" w14:textId="77777777" w:rsidR="00685914" w:rsidRPr="00685914" w:rsidRDefault="00685914" w:rsidP="00685914">
            <w:pPr>
              <w:rPr>
                <w:rFonts w:ascii="Calibri" w:eastAsia="Times New Roman" w:hAnsi="Calibri" w:cs="Calibri"/>
                <w:color w:val="000000"/>
                <w:sz w:val="20"/>
                <w:szCs w:val="20"/>
              </w:rPr>
            </w:pPr>
          </w:p>
        </w:tc>
      </w:tr>
      <w:tr w:rsidR="00685914" w:rsidRPr="00685914" w14:paraId="421619D9"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E2EFDA"/>
            <w:noWrap/>
            <w:vAlign w:val="bottom"/>
            <w:hideMark/>
          </w:tcPr>
          <w:p w14:paraId="6558A4C5"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ERS</w:t>
            </w:r>
          </w:p>
        </w:tc>
        <w:tc>
          <w:tcPr>
            <w:tcW w:w="2913" w:type="dxa"/>
            <w:tcBorders>
              <w:top w:val="nil"/>
              <w:left w:val="nil"/>
              <w:bottom w:val="single" w:sz="4" w:space="0" w:color="auto"/>
              <w:right w:val="single" w:sz="4" w:space="0" w:color="auto"/>
            </w:tcBorders>
            <w:shd w:val="clear" w:color="auto" w:fill="auto"/>
            <w:noWrap/>
            <w:vAlign w:val="bottom"/>
            <w:hideMark/>
          </w:tcPr>
          <w:p w14:paraId="14B6041E"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C1906 SEM</w:t>
            </w:r>
          </w:p>
        </w:tc>
        <w:tc>
          <w:tcPr>
            <w:tcW w:w="827" w:type="dxa"/>
            <w:tcBorders>
              <w:top w:val="nil"/>
              <w:left w:val="nil"/>
              <w:bottom w:val="single" w:sz="4" w:space="0" w:color="auto"/>
              <w:right w:val="single" w:sz="4" w:space="0" w:color="auto"/>
            </w:tcBorders>
            <w:shd w:val="clear" w:color="auto" w:fill="auto"/>
            <w:noWrap/>
            <w:vAlign w:val="bottom"/>
            <w:hideMark/>
          </w:tcPr>
          <w:p w14:paraId="25C8B19E"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$264,880</w:t>
            </w:r>
          </w:p>
        </w:tc>
        <w:tc>
          <w:tcPr>
            <w:tcW w:w="1127" w:type="dxa"/>
            <w:tcBorders>
              <w:top w:val="nil"/>
              <w:left w:val="nil"/>
              <w:bottom w:val="nil"/>
              <w:right w:val="nil"/>
            </w:tcBorders>
            <w:shd w:val="clear" w:color="auto" w:fill="auto"/>
            <w:noWrap/>
            <w:vAlign w:val="bottom"/>
            <w:hideMark/>
          </w:tcPr>
          <w:p w14:paraId="1F52AF26" w14:textId="77777777" w:rsidR="00685914" w:rsidRPr="00685914" w:rsidRDefault="00685914" w:rsidP="00685914">
            <w:pPr>
              <w:jc w:val="right"/>
              <w:rPr>
                <w:rFonts w:ascii="Calibri" w:eastAsia="Times New Roman" w:hAnsi="Calibri" w:cs="Calibri"/>
                <w:color w:val="000000"/>
                <w:sz w:val="20"/>
                <w:szCs w:val="20"/>
              </w:rPr>
            </w:pPr>
          </w:p>
        </w:tc>
      </w:tr>
      <w:tr w:rsidR="00685914" w:rsidRPr="00685914" w14:paraId="69ECC5BE"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DDEBF7"/>
            <w:noWrap/>
            <w:vAlign w:val="bottom"/>
            <w:hideMark/>
          </w:tcPr>
          <w:p w14:paraId="64EA79E3"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ERS</w:t>
            </w:r>
          </w:p>
        </w:tc>
        <w:tc>
          <w:tcPr>
            <w:tcW w:w="2913" w:type="dxa"/>
            <w:tcBorders>
              <w:top w:val="nil"/>
              <w:left w:val="nil"/>
              <w:bottom w:val="single" w:sz="4" w:space="0" w:color="auto"/>
              <w:right w:val="single" w:sz="4" w:space="0" w:color="auto"/>
            </w:tcBorders>
            <w:shd w:val="clear" w:color="auto" w:fill="auto"/>
            <w:noWrap/>
            <w:vAlign w:val="bottom"/>
            <w:hideMark/>
          </w:tcPr>
          <w:p w14:paraId="1252F46D"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X1931 PSD</w:t>
            </w:r>
          </w:p>
        </w:tc>
        <w:tc>
          <w:tcPr>
            <w:tcW w:w="827" w:type="dxa"/>
            <w:tcBorders>
              <w:top w:val="nil"/>
              <w:left w:val="nil"/>
              <w:bottom w:val="single" w:sz="4" w:space="0" w:color="auto"/>
              <w:right w:val="single" w:sz="4" w:space="0" w:color="auto"/>
            </w:tcBorders>
            <w:shd w:val="clear" w:color="auto" w:fill="auto"/>
            <w:noWrap/>
            <w:vAlign w:val="bottom"/>
            <w:hideMark/>
          </w:tcPr>
          <w:p w14:paraId="1377AFD9"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$604,211</w:t>
            </w:r>
          </w:p>
        </w:tc>
        <w:tc>
          <w:tcPr>
            <w:tcW w:w="1127" w:type="dxa"/>
            <w:tcBorders>
              <w:top w:val="nil"/>
              <w:left w:val="nil"/>
              <w:bottom w:val="nil"/>
              <w:right w:val="nil"/>
            </w:tcBorders>
            <w:shd w:val="clear" w:color="auto" w:fill="auto"/>
            <w:noWrap/>
            <w:vAlign w:val="bottom"/>
            <w:hideMark/>
          </w:tcPr>
          <w:p w14:paraId="71A1DEC9" w14:textId="77777777" w:rsidR="00685914" w:rsidRPr="00685914" w:rsidRDefault="00685914" w:rsidP="00685914">
            <w:pPr>
              <w:jc w:val="right"/>
              <w:rPr>
                <w:rFonts w:ascii="Calibri" w:eastAsia="Times New Roman" w:hAnsi="Calibri" w:cs="Calibri"/>
                <w:color w:val="000000"/>
                <w:sz w:val="20"/>
                <w:szCs w:val="20"/>
              </w:rPr>
            </w:pPr>
          </w:p>
        </w:tc>
      </w:tr>
      <w:tr w:rsidR="00685914" w:rsidRPr="00685914" w14:paraId="5C2FE9DB"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DDEBF7"/>
            <w:noWrap/>
            <w:vAlign w:val="bottom"/>
            <w:hideMark/>
          </w:tcPr>
          <w:p w14:paraId="3B6B0CA0"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ERS</w:t>
            </w:r>
          </w:p>
        </w:tc>
        <w:tc>
          <w:tcPr>
            <w:tcW w:w="2913" w:type="dxa"/>
            <w:tcBorders>
              <w:top w:val="nil"/>
              <w:left w:val="nil"/>
              <w:bottom w:val="single" w:sz="4" w:space="0" w:color="auto"/>
              <w:right w:val="single" w:sz="4" w:space="0" w:color="auto"/>
            </w:tcBorders>
            <w:shd w:val="clear" w:color="auto" w:fill="auto"/>
            <w:noWrap/>
            <w:vAlign w:val="bottom"/>
            <w:hideMark/>
          </w:tcPr>
          <w:p w14:paraId="14D0209B"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X1939 Early Retirement</w:t>
            </w:r>
          </w:p>
        </w:tc>
        <w:tc>
          <w:tcPr>
            <w:tcW w:w="827" w:type="dxa"/>
            <w:tcBorders>
              <w:top w:val="nil"/>
              <w:left w:val="nil"/>
              <w:bottom w:val="single" w:sz="4" w:space="0" w:color="auto"/>
              <w:right w:val="single" w:sz="4" w:space="0" w:color="auto"/>
            </w:tcBorders>
            <w:shd w:val="clear" w:color="auto" w:fill="auto"/>
            <w:noWrap/>
            <w:vAlign w:val="bottom"/>
            <w:hideMark/>
          </w:tcPr>
          <w:p w14:paraId="0F7FA2EB"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$284,543</w:t>
            </w:r>
          </w:p>
        </w:tc>
        <w:tc>
          <w:tcPr>
            <w:tcW w:w="1127" w:type="dxa"/>
            <w:tcBorders>
              <w:top w:val="nil"/>
              <w:left w:val="nil"/>
              <w:bottom w:val="nil"/>
              <w:right w:val="nil"/>
            </w:tcBorders>
            <w:shd w:val="clear" w:color="auto" w:fill="auto"/>
            <w:noWrap/>
            <w:vAlign w:val="bottom"/>
            <w:hideMark/>
          </w:tcPr>
          <w:p w14:paraId="2E99C539" w14:textId="77777777" w:rsidR="00685914" w:rsidRPr="00685914" w:rsidRDefault="00685914" w:rsidP="00685914">
            <w:pPr>
              <w:jc w:val="right"/>
              <w:rPr>
                <w:rFonts w:ascii="Calibri" w:eastAsia="Times New Roman" w:hAnsi="Calibri" w:cs="Calibri"/>
                <w:color w:val="000000"/>
                <w:sz w:val="20"/>
                <w:szCs w:val="20"/>
              </w:rPr>
            </w:pPr>
          </w:p>
        </w:tc>
      </w:tr>
      <w:tr w:rsidR="00685914" w:rsidRPr="00685914" w14:paraId="40EC5236" w14:textId="77777777" w:rsidTr="00685914">
        <w:trPr>
          <w:trHeight w:val="295"/>
        </w:trPr>
        <w:tc>
          <w:tcPr>
            <w:tcW w:w="1042" w:type="dxa"/>
            <w:tcBorders>
              <w:top w:val="nil"/>
              <w:left w:val="single" w:sz="4" w:space="0" w:color="auto"/>
              <w:bottom w:val="single" w:sz="4" w:space="0" w:color="auto"/>
              <w:right w:val="single" w:sz="4" w:space="0" w:color="auto"/>
            </w:tcBorders>
            <w:shd w:val="clear" w:color="000000" w:fill="BDD7EE"/>
            <w:noWrap/>
            <w:vAlign w:val="bottom"/>
            <w:hideMark/>
          </w:tcPr>
          <w:p w14:paraId="352B61B5"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Evergreen</w:t>
            </w:r>
          </w:p>
        </w:tc>
        <w:tc>
          <w:tcPr>
            <w:tcW w:w="2913" w:type="dxa"/>
            <w:tcBorders>
              <w:top w:val="nil"/>
              <w:left w:val="nil"/>
              <w:bottom w:val="single" w:sz="4" w:space="0" w:color="auto"/>
              <w:right w:val="single" w:sz="4" w:space="0" w:color="auto"/>
            </w:tcBorders>
            <w:shd w:val="clear" w:color="auto" w:fill="auto"/>
            <w:noWrap/>
            <w:vAlign w:val="bottom"/>
            <w:hideMark/>
          </w:tcPr>
          <w:p w14:paraId="5C502CDA"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R1982 Res HVAC/DHW</w:t>
            </w:r>
          </w:p>
        </w:tc>
        <w:tc>
          <w:tcPr>
            <w:tcW w:w="827" w:type="dxa"/>
            <w:tcBorders>
              <w:top w:val="nil"/>
              <w:left w:val="nil"/>
              <w:bottom w:val="single" w:sz="4" w:space="0" w:color="auto"/>
              <w:right w:val="single" w:sz="4" w:space="0" w:color="auto"/>
            </w:tcBorders>
            <w:shd w:val="clear" w:color="auto" w:fill="auto"/>
            <w:noWrap/>
            <w:vAlign w:val="bottom"/>
            <w:hideMark/>
          </w:tcPr>
          <w:p w14:paraId="0AD587B5"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$740,000</w:t>
            </w:r>
          </w:p>
        </w:tc>
        <w:tc>
          <w:tcPr>
            <w:tcW w:w="1127" w:type="dxa"/>
            <w:tcBorders>
              <w:top w:val="nil"/>
              <w:left w:val="nil"/>
              <w:bottom w:val="nil"/>
              <w:right w:val="nil"/>
            </w:tcBorders>
            <w:shd w:val="clear" w:color="auto" w:fill="auto"/>
            <w:noWrap/>
            <w:vAlign w:val="bottom"/>
            <w:hideMark/>
          </w:tcPr>
          <w:p w14:paraId="3CC3DC6F" w14:textId="77777777" w:rsidR="00685914" w:rsidRPr="00685914" w:rsidRDefault="00685914" w:rsidP="00685914">
            <w:pPr>
              <w:jc w:val="right"/>
              <w:rPr>
                <w:rFonts w:ascii="Calibri" w:eastAsia="Times New Roman" w:hAnsi="Calibri" w:cs="Calibri"/>
                <w:color w:val="000000"/>
                <w:sz w:val="20"/>
                <w:szCs w:val="20"/>
              </w:rPr>
            </w:pPr>
          </w:p>
        </w:tc>
      </w:tr>
      <w:tr w:rsidR="00685914" w:rsidRPr="00685914" w14:paraId="2E38A84D" w14:textId="77777777" w:rsidTr="00685914">
        <w:trPr>
          <w:trHeight w:val="295"/>
        </w:trPr>
        <w:tc>
          <w:tcPr>
            <w:tcW w:w="1042" w:type="dxa"/>
            <w:tcBorders>
              <w:top w:val="nil"/>
              <w:left w:val="single" w:sz="4" w:space="0" w:color="auto"/>
              <w:bottom w:val="single" w:sz="4" w:space="0" w:color="auto"/>
              <w:right w:val="single" w:sz="4" w:space="0" w:color="auto"/>
            </w:tcBorders>
            <w:shd w:val="clear" w:color="000000" w:fill="DDEBF7"/>
            <w:noWrap/>
            <w:vAlign w:val="bottom"/>
            <w:hideMark/>
          </w:tcPr>
          <w:p w14:paraId="451AAAD2"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TRC</w:t>
            </w:r>
          </w:p>
        </w:tc>
        <w:tc>
          <w:tcPr>
            <w:tcW w:w="2913" w:type="dxa"/>
            <w:tcBorders>
              <w:top w:val="nil"/>
              <w:left w:val="nil"/>
              <w:bottom w:val="single" w:sz="4" w:space="0" w:color="auto"/>
              <w:right w:val="single" w:sz="4" w:space="0" w:color="auto"/>
            </w:tcBorders>
            <w:shd w:val="clear" w:color="auto" w:fill="auto"/>
            <w:noWrap/>
            <w:vAlign w:val="bottom"/>
            <w:hideMark/>
          </w:tcPr>
          <w:p w14:paraId="2B1825E3"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X1941 MF</w:t>
            </w:r>
          </w:p>
        </w:tc>
        <w:tc>
          <w:tcPr>
            <w:tcW w:w="827" w:type="dxa"/>
            <w:tcBorders>
              <w:top w:val="nil"/>
              <w:left w:val="nil"/>
              <w:bottom w:val="single" w:sz="4" w:space="0" w:color="auto"/>
              <w:right w:val="single" w:sz="4" w:space="0" w:color="auto"/>
            </w:tcBorders>
            <w:shd w:val="clear" w:color="auto" w:fill="auto"/>
            <w:noWrap/>
            <w:vAlign w:val="bottom"/>
            <w:hideMark/>
          </w:tcPr>
          <w:p w14:paraId="58724902"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$369,054</w:t>
            </w:r>
          </w:p>
        </w:tc>
        <w:tc>
          <w:tcPr>
            <w:tcW w:w="1127" w:type="dxa"/>
            <w:tcBorders>
              <w:top w:val="nil"/>
              <w:left w:val="nil"/>
              <w:bottom w:val="nil"/>
              <w:right w:val="nil"/>
            </w:tcBorders>
            <w:shd w:val="clear" w:color="auto" w:fill="auto"/>
            <w:noWrap/>
            <w:vAlign w:val="bottom"/>
            <w:hideMark/>
          </w:tcPr>
          <w:p w14:paraId="3367BFDF" w14:textId="77777777" w:rsidR="00685914" w:rsidRPr="00685914" w:rsidRDefault="00685914" w:rsidP="00685914">
            <w:pPr>
              <w:jc w:val="right"/>
              <w:rPr>
                <w:rFonts w:ascii="Calibri" w:eastAsia="Times New Roman" w:hAnsi="Calibri" w:cs="Calibri"/>
                <w:color w:val="000000"/>
                <w:sz w:val="20"/>
                <w:szCs w:val="20"/>
              </w:rPr>
            </w:pPr>
          </w:p>
        </w:tc>
      </w:tr>
      <w:tr w:rsidR="00685914" w:rsidRPr="00685914" w14:paraId="65A50343"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BDD7EE"/>
            <w:noWrap/>
            <w:vAlign w:val="bottom"/>
            <w:hideMark/>
          </w:tcPr>
          <w:p w14:paraId="4E9D6717"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EMI</w:t>
            </w:r>
          </w:p>
        </w:tc>
        <w:tc>
          <w:tcPr>
            <w:tcW w:w="2913" w:type="dxa"/>
            <w:tcBorders>
              <w:top w:val="nil"/>
              <w:left w:val="nil"/>
              <w:bottom w:val="single" w:sz="4" w:space="0" w:color="auto"/>
              <w:right w:val="single" w:sz="4" w:space="0" w:color="auto"/>
            </w:tcBorders>
            <w:shd w:val="clear" w:color="auto" w:fill="auto"/>
            <w:noWrap/>
            <w:vAlign w:val="bottom"/>
            <w:hideMark/>
          </w:tcPr>
          <w:p w14:paraId="0788C463"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 xml:space="preserve">R1973 Retail </w:t>
            </w:r>
            <w:proofErr w:type="spellStart"/>
            <w:r w:rsidRPr="00685914">
              <w:rPr>
                <w:rFonts w:ascii="Calibri" w:eastAsia="Times New Roman" w:hAnsi="Calibri" w:cs="Calibri"/>
                <w:color w:val="000000"/>
                <w:sz w:val="20"/>
                <w:szCs w:val="20"/>
              </w:rPr>
              <w:t>Nonlighting</w:t>
            </w:r>
            <w:proofErr w:type="spellEnd"/>
            <w:r w:rsidRPr="00685914">
              <w:rPr>
                <w:rFonts w:ascii="Calibri" w:eastAsia="Times New Roman" w:hAnsi="Calibri" w:cs="Calibri"/>
                <w:color w:val="000000"/>
                <w:sz w:val="20"/>
                <w:szCs w:val="20"/>
              </w:rPr>
              <w:t xml:space="preserve"> Prods</w:t>
            </w:r>
          </w:p>
        </w:tc>
        <w:tc>
          <w:tcPr>
            <w:tcW w:w="827" w:type="dxa"/>
            <w:tcBorders>
              <w:top w:val="nil"/>
              <w:left w:val="nil"/>
              <w:bottom w:val="single" w:sz="4" w:space="0" w:color="auto"/>
              <w:right w:val="single" w:sz="4" w:space="0" w:color="auto"/>
            </w:tcBorders>
            <w:shd w:val="clear" w:color="auto" w:fill="auto"/>
            <w:noWrap/>
            <w:vAlign w:val="bottom"/>
            <w:hideMark/>
          </w:tcPr>
          <w:p w14:paraId="24E2B414"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$199,762</w:t>
            </w:r>
          </w:p>
        </w:tc>
        <w:tc>
          <w:tcPr>
            <w:tcW w:w="1127" w:type="dxa"/>
            <w:tcBorders>
              <w:top w:val="nil"/>
              <w:left w:val="nil"/>
              <w:bottom w:val="nil"/>
              <w:right w:val="nil"/>
            </w:tcBorders>
            <w:shd w:val="clear" w:color="auto" w:fill="auto"/>
            <w:noWrap/>
            <w:vAlign w:val="bottom"/>
            <w:hideMark/>
          </w:tcPr>
          <w:p w14:paraId="282319E4" w14:textId="77777777" w:rsidR="00685914" w:rsidRPr="00685914" w:rsidRDefault="00685914" w:rsidP="00685914">
            <w:pPr>
              <w:jc w:val="right"/>
              <w:rPr>
                <w:rFonts w:ascii="Calibri" w:eastAsia="Times New Roman" w:hAnsi="Calibri" w:cs="Calibri"/>
                <w:color w:val="000000"/>
                <w:sz w:val="20"/>
                <w:szCs w:val="20"/>
              </w:rPr>
            </w:pPr>
          </w:p>
        </w:tc>
      </w:tr>
      <w:tr w:rsidR="00685914" w:rsidRPr="00685914" w14:paraId="03D8274B"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DDEBF7"/>
            <w:noWrap/>
            <w:vAlign w:val="bottom"/>
            <w:hideMark/>
          </w:tcPr>
          <w:p w14:paraId="067B0D77"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NMR</w:t>
            </w:r>
          </w:p>
        </w:tc>
        <w:tc>
          <w:tcPr>
            <w:tcW w:w="2913" w:type="dxa"/>
            <w:tcBorders>
              <w:top w:val="nil"/>
              <w:left w:val="nil"/>
              <w:bottom w:val="single" w:sz="4" w:space="0" w:color="auto"/>
              <w:right w:val="single" w:sz="4" w:space="0" w:color="auto"/>
            </w:tcBorders>
            <w:shd w:val="clear" w:color="auto" w:fill="auto"/>
            <w:noWrap/>
            <w:vAlign w:val="bottom"/>
            <w:hideMark/>
          </w:tcPr>
          <w:p w14:paraId="39C045D4"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 xml:space="preserve">1932 DR </w:t>
            </w:r>
            <w:proofErr w:type="gramStart"/>
            <w:r w:rsidRPr="00685914">
              <w:rPr>
                <w:rFonts w:ascii="Calibri" w:eastAsia="Times New Roman" w:hAnsi="Calibri" w:cs="Calibri"/>
                <w:color w:val="000000"/>
                <w:sz w:val="20"/>
                <w:szCs w:val="20"/>
              </w:rPr>
              <w:t>Pilots  (</w:t>
            </w:r>
            <w:proofErr w:type="gramEnd"/>
            <w:r w:rsidRPr="00685914">
              <w:rPr>
                <w:rFonts w:ascii="Calibri" w:eastAsia="Times New Roman" w:hAnsi="Calibri" w:cs="Calibri"/>
                <w:color w:val="000000"/>
                <w:sz w:val="20"/>
                <w:szCs w:val="20"/>
              </w:rPr>
              <w:t>R1648)</w:t>
            </w:r>
          </w:p>
        </w:tc>
        <w:tc>
          <w:tcPr>
            <w:tcW w:w="827" w:type="dxa"/>
            <w:tcBorders>
              <w:top w:val="nil"/>
              <w:left w:val="nil"/>
              <w:bottom w:val="single" w:sz="4" w:space="0" w:color="auto"/>
              <w:right w:val="single" w:sz="4" w:space="0" w:color="auto"/>
            </w:tcBorders>
            <w:shd w:val="clear" w:color="auto" w:fill="auto"/>
            <w:noWrap/>
            <w:vAlign w:val="bottom"/>
            <w:hideMark/>
          </w:tcPr>
          <w:p w14:paraId="2043A751"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 </w:t>
            </w:r>
          </w:p>
        </w:tc>
        <w:tc>
          <w:tcPr>
            <w:tcW w:w="1127" w:type="dxa"/>
            <w:tcBorders>
              <w:top w:val="nil"/>
              <w:left w:val="nil"/>
              <w:bottom w:val="nil"/>
              <w:right w:val="nil"/>
            </w:tcBorders>
            <w:shd w:val="clear" w:color="auto" w:fill="auto"/>
            <w:noWrap/>
            <w:vAlign w:val="bottom"/>
            <w:hideMark/>
          </w:tcPr>
          <w:p w14:paraId="5E7684F9"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$375,000</w:t>
            </w:r>
          </w:p>
        </w:tc>
      </w:tr>
      <w:tr w:rsidR="00685914" w:rsidRPr="00685914" w14:paraId="76472E22"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DDEBF7"/>
            <w:noWrap/>
            <w:vAlign w:val="bottom"/>
            <w:hideMark/>
          </w:tcPr>
          <w:p w14:paraId="16680BC4"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NMR</w:t>
            </w:r>
          </w:p>
        </w:tc>
        <w:tc>
          <w:tcPr>
            <w:tcW w:w="2913" w:type="dxa"/>
            <w:tcBorders>
              <w:top w:val="nil"/>
              <w:left w:val="nil"/>
              <w:bottom w:val="single" w:sz="4" w:space="0" w:color="auto"/>
              <w:right w:val="single" w:sz="4" w:space="0" w:color="auto"/>
            </w:tcBorders>
            <w:shd w:val="clear" w:color="auto" w:fill="auto"/>
            <w:noWrap/>
            <w:vAlign w:val="bottom"/>
            <w:hideMark/>
          </w:tcPr>
          <w:p w14:paraId="3098156D"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R1965 HP/HPWH</w:t>
            </w:r>
          </w:p>
        </w:tc>
        <w:tc>
          <w:tcPr>
            <w:tcW w:w="827" w:type="dxa"/>
            <w:tcBorders>
              <w:top w:val="nil"/>
              <w:left w:val="nil"/>
              <w:bottom w:val="single" w:sz="4" w:space="0" w:color="auto"/>
              <w:right w:val="single" w:sz="4" w:space="0" w:color="auto"/>
            </w:tcBorders>
            <w:shd w:val="clear" w:color="auto" w:fill="auto"/>
            <w:noWrap/>
            <w:vAlign w:val="bottom"/>
            <w:hideMark/>
          </w:tcPr>
          <w:p w14:paraId="557ACB6A"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$250,000</w:t>
            </w:r>
          </w:p>
        </w:tc>
        <w:tc>
          <w:tcPr>
            <w:tcW w:w="1127" w:type="dxa"/>
            <w:tcBorders>
              <w:top w:val="nil"/>
              <w:left w:val="nil"/>
              <w:bottom w:val="nil"/>
              <w:right w:val="nil"/>
            </w:tcBorders>
            <w:shd w:val="clear" w:color="auto" w:fill="auto"/>
            <w:noWrap/>
            <w:vAlign w:val="bottom"/>
            <w:hideMark/>
          </w:tcPr>
          <w:p w14:paraId="62DA9306" w14:textId="77777777" w:rsidR="00685914" w:rsidRPr="00685914" w:rsidRDefault="00685914" w:rsidP="00685914">
            <w:pPr>
              <w:jc w:val="right"/>
              <w:rPr>
                <w:rFonts w:ascii="Calibri" w:eastAsia="Times New Roman" w:hAnsi="Calibri" w:cs="Calibri"/>
                <w:color w:val="000000"/>
                <w:sz w:val="20"/>
                <w:szCs w:val="20"/>
              </w:rPr>
            </w:pPr>
          </w:p>
        </w:tc>
      </w:tr>
      <w:tr w:rsidR="00685914" w:rsidRPr="00685914" w14:paraId="4987E4F3"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DDEBF7"/>
            <w:noWrap/>
            <w:vAlign w:val="bottom"/>
            <w:hideMark/>
          </w:tcPr>
          <w:p w14:paraId="23C1D034"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NMR</w:t>
            </w:r>
          </w:p>
        </w:tc>
        <w:tc>
          <w:tcPr>
            <w:tcW w:w="2913" w:type="dxa"/>
            <w:tcBorders>
              <w:top w:val="nil"/>
              <w:left w:val="nil"/>
              <w:bottom w:val="single" w:sz="4" w:space="0" w:color="auto"/>
              <w:right w:val="single" w:sz="4" w:space="0" w:color="auto"/>
            </w:tcBorders>
            <w:shd w:val="clear" w:color="auto" w:fill="auto"/>
            <w:noWrap/>
            <w:vAlign w:val="bottom"/>
            <w:hideMark/>
          </w:tcPr>
          <w:p w14:paraId="5D5D2C7C"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 xml:space="preserve">R1959 SF </w:t>
            </w:r>
            <w:proofErr w:type="spellStart"/>
            <w:r w:rsidRPr="00685914">
              <w:rPr>
                <w:rFonts w:ascii="Calibri" w:eastAsia="Times New Roman" w:hAnsi="Calibri" w:cs="Calibri"/>
                <w:color w:val="000000"/>
                <w:sz w:val="20"/>
                <w:szCs w:val="20"/>
              </w:rPr>
              <w:t>Renov</w:t>
            </w:r>
            <w:proofErr w:type="spellEnd"/>
          </w:p>
        </w:tc>
        <w:tc>
          <w:tcPr>
            <w:tcW w:w="827" w:type="dxa"/>
            <w:tcBorders>
              <w:top w:val="nil"/>
              <w:left w:val="nil"/>
              <w:bottom w:val="single" w:sz="4" w:space="0" w:color="auto"/>
              <w:right w:val="single" w:sz="4" w:space="0" w:color="auto"/>
            </w:tcBorders>
            <w:shd w:val="clear" w:color="auto" w:fill="auto"/>
            <w:noWrap/>
            <w:vAlign w:val="bottom"/>
            <w:hideMark/>
          </w:tcPr>
          <w:p w14:paraId="5A8089D4"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$135,000</w:t>
            </w:r>
          </w:p>
        </w:tc>
        <w:tc>
          <w:tcPr>
            <w:tcW w:w="1127" w:type="dxa"/>
            <w:tcBorders>
              <w:top w:val="nil"/>
              <w:left w:val="nil"/>
              <w:bottom w:val="nil"/>
              <w:right w:val="nil"/>
            </w:tcBorders>
            <w:shd w:val="clear" w:color="auto" w:fill="auto"/>
            <w:noWrap/>
            <w:vAlign w:val="bottom"/>
            <w:hideMark/>
          </w:tcPr>
          <w:p w14:paraId="103482BA" w14:textId="77777777" w:rsidR="00685914" w:rsidRPr="00685914" w:rsidRDefault="00685914" w:rsidP="00685914">
            <w:pPr>
              <w:jc w:val="right"/>
              <w:rPr>
                <w:rFonts w:ascii="Calibri" w:eastAsia="Times New Roman" w:hAnsi="Calibri" w:cs="Calibri"/>
                <w:color w:val="000000"/>
                <w:sz w:val="20"/>
                <w:szCs w:val="20"/>
              </w:rPr>
            </w:pPr>
          </w:p>
        </w:tc>
      </w:tr>
      <w:tr w:rsidR="00685914" w:rsidRPr="00685914" w14:paraId="4C41D824"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DDEBF7"/>
            <w:noWrap/>
            <w:vAlign w:val="bottom"/>
            <w:hideMark/>
          </w:tcPr>
          <w:p w14:paraId="7D670DC6"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NMR</w:t>
            </w:r>
          </w:p>
        </w:tc>
        <w:tc>
          <w:tcPr>
            <w:tcW w:w="2913" w:type="dxa"/>
            <w:tcBorders>
              <w:top w:val="nil"/>
              <w:left w:val="nil"/>
              <w:bottom w:val="single" w:sz="4" w:space="0" w:color="auto"/>
              <w:right w:val="single" w:sz="4" w:space="0" w:color="auto"/>
            </w:tcBorders>
            <w:shd w:val="clear" w:color="auto" w:fill="auto"/>
            <w:noWrap/>
            <w:vAlign w:val="bottom"/>
            <w:hideMark/>
          </w:tcPr>
          <w:p w14:paraId="75885A6A"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R1963A ST Res Lighting</w:t>
            </w:r>
          </w:p>
        </w:tc>
        <w:tc>
          <w:tcPr>
            <w:tcW w:w="827" w:type="dxa"/>
            <w:tcBorders>
              <w:top w:val="nil"/>
              <w:left w:val="nil"/>
              <w:bottom w:val="single" w:sz="4" w:space="0" w:color="auto"/>
              <w:right w:val="single" w:sz="4" w:space="0" w:color="auto"/>
            </w:tcBorders>
            <w:shd w:val="clear" w:color="auto" w:fill="auto"/>
            <w:noWrap/>
            <w:vAlign w:val="bottom"/>
            <w:hideMark/>
          </w:tcPr>
          <w:p w14:paraId="0B018D85"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$110,000</w:t>
            </w:r>
          </w:p>
        </w:tc>
        <w:tc>
          <w:tcPr>
            <w:tcW w:w="1127" w:type="dxa"/>
            <w:tcBorders>
              <w:top w:val="nil"/>
              <w:left w:val="nil"/>
              <w:bottom w:val="nil"/>
              <w:right w:val="nil"/>
            </w:tcBorders>
            <w:shd w:val="clear" w:color="auto" w:fill="auto"/>
            <w:noWrap/>
            <w:vAlign w:val="bottom"/>
            <w:hideMark/>
          </w:tcPr>
          <w:p w14:paraId="559EE847" w14:textId="77777777" w:rsidR="00685914" w:rsidRPr="00685914" w:rsidRDefault="00685914" w:rsidP="00685914">
            <w:pPr>
              <w:jc w:val="right"/>
              <w:rPr>
                <w:rFonts w:ascii="Calibri" w:eastAsia="Times New Roman" w:hAnsi="Calibri" w:cs="Calibri"/>
                <w:color w:val="000000"/>
                <w:sz w:val="20"/>
                <w:szCs w:val="20"/>
              </w:rPr>
            </w:pPr>
          </w:p>
        </w:tc>
      </w:tr>
      <w:tr w:rsidR="00685914" w:rsidRPr="00685914" w14:paraId="142971E0"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BDD7EE"/>
            <w:noWrap/>
            <w:vAlign w:val="bottom"/>
            <w:hideMark/>
          </w:tcPr>
          <w:p w14:paraId="150DA995"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SCS</w:t>
            </w:r>
          </w:p>
        </w:tc>
        <w:tc>
          <w:tcPr>
            <w:tcW w:w="2913" w:type="dxa"/>
            <w:tcBorders>
              <w:top w:val="nil"/>
              <w:left w:val="nil"/>
              <w:bottom w:val="single" w:sz="4" w:space="0" w:color="auto"/>
              <w:right w:val="single" w:sz="4" w:space="0" w:color="auto"/>
            </w:tcBorders>
            <w:shd w:val="clear" w:color="auto" w:fill="auto"/>
            <w:noWrap/>
            <w:vAlign w:val="bottom"/>
            <w:hideMark/>
          </w:tcPr>
          <w:p w14:paraId="482F7E10"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R1963B ST Res Lighting</w:t>
            </w:r>
          </w:p>
        </w:tc>
        <w:tc>
          <w:tcPr>
            <w:tcW w:w="827" w:type="dxa"/>
            <w:tcBorders>
              <w:top w:val="nil"/>
              <w:left w:val="nil"/>
              <w:bottom w:val="single" w:sz="4" w:space="0" w:color="auto"/>
              <w:right w:val="single" w:sz="4" w:space="0" w:color="auto"/>
            </w:tcBorders>
            <w:shd w:val="clear" w:color="auto" w:fill="auto"/>
            <w:noWrap/>
            <w:vAlign w:val="bottom"/>
            <w:hideMark/>
          </w:tcPr>
          <w:p w14:paraId="610409D9"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$40,000</w:t>
            </w:r>
          </w:p>
        </w:tc>
        <w:tc>
          <w:tcPr>
            <w:tcW w:w="1127" w:type="dxa"/>
            <w:tcBorders>
              <w:top w:val="nil"/>
              <w:left w:val="nil"/>
              <w:bottom w:val="nil"/>
              <w:right w:val="nil"/>
            </w:tcBorders>
            <w:shd w:val="clear" w:color="auto" w:fill="auto"/>
            <w:noWrap/>
            <w:vAlign w:val="bottom"/>
            <w:hideMark/>
          </w:tcPr>
          <w:p w14:paraId="72FAA218"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Total New</w:t>
            </w:r>
          </w:p>
        </w:tc>
      </w:tr>
      <w:tr w:rsidR="00685914" w:rsidRPr="00685914" w14:paraId="1191D82C" w14:textId="77777777" w:rsidTr="00685914">
        <w:trPr>
          <w:trHeight w:val="270"/>
        </w:trPr>
        <w:tc>
          <w:tcPr>
            <w:tcW w:w="1042" w:type="dxa"/>
            <w:tcBorders>
              <w:top w:val="nil"/>
              <w:left w:val="single" w:sz="4" w:space="0" w:color="auto"/>
              <w:bottom w:val="single" w:sz="4" w:space="0" w:color="auto"/>
              <w:right w:val="single" w:sz="4" w:space="0" w:color="auto"/>
            </w:tcBorders>
            <w:shd w:val="clear" w:color="000000" w:fill="E2EFDA"/>
            <w:noWrap/>
            <w:vAlign w:val="bottom"/>
            <w:hideMark/>
          </w:tcPr>
          <w:p w14:paraId="15025B4B"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ODC</w:t>
            </w:r>
          </w:p>
        </w:tc>
        <w:tc>
          <w:tcPr>
            <w:tcW w:w="2913" w:type="dxa"/>
            <w:tcBorders>
              <w:top w:val="nil"/>
              <w:left w:val="nil"/>
              <w:bottom w:val="single" w:sz="4" w:space="0" w:color="auto"/>
              <w:right w:val="single" w:sz="4" w:space="0" w:color="auto"/>
            </w:tcBorders>
            <w:shd w:val="clear" w:color="auto" w:fill="auto"/>
            <w:noWrap/>
            <w:vAlign w:val="bottom"/>
            <w:hideMark/>
          </w:tcPr>
          <w:p w14:paraId="16751993" w14:textId="77777777" w:rsidR="00685914" w:rsidRPr="00685914" w:rsidRDefault="00685914" w:rsidP="00685914">
            <w:pPr>
              <w:rPr>
                <w:rFonts w:ascii="Calibri" w:eastAsia="Times New Roman" w:hAnsi="Calibri" w:cs="Calibri"/>
                <w:color w:val="000000"/>
                <w:sz w:val="20"/>
                <w:szCs w:val="20"/>
              </w:rPr>
            </w:pPr>
            <w:r w:rsidRPr="00685914">
              <w:rPr>
                <w:rFonts w:ascii="Calibri" w:eastAsia="Times New Roman" w:hAnsi="Calibri" w:cs="Calibri"/>
                <w:color w:val="000000"/>
                <w:sz w:val="20"/>
                <w:szCs w:val="20"/>
              </w:rPr>
              <w:t>C1901 C&amp;I Sector-Wide Process</w:t>
            </w:r>
          </w:p>
        </w:tc>
        <w:tc>
          <w:tcPr>
            <w:tcW w:w="827" w:type="dxa"/>
            <w:tcBorders>
              <w:top w:val="nil"/>
              <w:left w:val="nil"/>
              <w:bottom w:val="single" w:sz="4" w:space="0" w:color="auto"/>
              <w:right w:val="single" w:sz="4" w:space="0" w:color="auto"/>
            </w:tcBorders>
            <w:shd w:val="clear" w:color="auto" w:fill="auto"/>
            <w:noWrap/>
            <w:vAlign w:val="bottom"/>
            <w:hideMark/>
          </w:tcPr>
          <w:p w14:paraId="2562E143" w14:textId="77777777"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$594,000</w:t>
            </w:r>
          </w:p>
        </w:tc>
        <w:tc>
          <w:tcPr>
            <w:tcW w:w="1127" w:type="dxa"/>
            <w:tcBorders>
              <w:top w:val="nil"/>
              <w:left w:val="nil"/>
              <w:bottom w:val="nil"/>
              <w:right w:val="nil"/>
            </w:tcBorders>
            <w:shd w:val="clear" w:color="auto" w:fill="auto"/>
            <w:noWrap/>
            <w:vAlign w:val="bottom"/>
            <w:hideMark/>
          </w:tcPr>
          <w:p w14:paraId="5D689E68" w14:textId="51223376" w:rsidR="00685914" w:rsidRPr="00685914" w:rsidRDefault="00685914" w:rsidP="00685914">
            <w:pPr>
              <w:jc w:val="right"/>
              <w:rPr>
                <w:rFonts w:ascii="Calibri" w:eastAsia="Times New Roman" w:hAnsi="Calibri" w:cs="Calibri"/>
                <w:color w:val="000000"/>
                <w:sz w:val="20"/>
                <w:szCs w:val="20"/>
              </w:rPr>
            </w:pPr>
            <w:r w:rsidRPr="00685914">
              <w:rPr>
                <w:rFonts w:ascii="Calibri" w:eastAsia="Times New Roman" w:hAnsi="Calibri" w:cs="Calibri"/>
                <w:color w:val="000000"/>
                <w:sz w:val="20"/>
                <w:szCs w:val="20"/>
              </w:rPr>
              <w:t>$3,591,450</w:t>
            </w:r>
            <w:r>
              <w:rPr>
                <w:rFonts w:ascii="Calibri" w:eastAsia="Times New Roman" w:hAnsi="Calibri" w:cs="Calibri"/>
                <w:color w:val="000000"/>
                <w:sz w:val="20"/>
                <w:szCs w:val="20"/>
              </w:rPr>
              <w:t>*</w:t>
            </w:r>
          </w:p>
        </w:tc>
      </w:tr>
    </w:tbl>
    <w:p w14:paraId="19E670E1" w14:textId="388518F8" w:rsidR="00D75E59" w:rsidRDefault="00D75E59"/>
    <w:p w14:paraId="386547A8" w14:textId="2921AADA" w:rsidR="0033351C" w:rsidRDefault="0033351C">
      <w:r>
        <w:t xml:space="preserve">This </w:t>
      </w:r>
      <w:r w:rsidR="003D7B9C">
        <w:t>list includes</w:t>
      </w:r>
      <w:r>
        <w:t xml:space="preserve"> 12 contracts, for 11 projects (R1963a was split between two contractors). One contract was not let in this round (X1942, crosscutting NEIs) because only one (weak) proposal was received in the last round.</w:t>
      </w:r>
    </w:p>
    <w:p w14:paraId="2208F2BD" w14:textId="77777777" w:rsidR="0033351C" w:rsidRDefault="0033351C"/>
    <w:p w14:paraId="651BA288" w14:textId="5BCA9D4F" w:rsidR="00D75E59" w:rsidRDefault="0033351C">
      <w:r>
        <w:t>Also, t</w:t>
      </w:r>
      <w:r w:rsidR="00685914">
        <w:t xml:space="preserve">he status of the DR pilots is a little unclear; there is a cooperative effort with MA being undertaken with that project.  Only 5% of this project’s budget was expected to be spent in 2019; we will expect to conduct work for this project going forward.  Including the DR project, a total of $3,966,450 was contracted.  </w:t>
      </w:r>
    </w:p>
    <w:p w14:paraId="70637D8E" w14:textId="33D49DC2" w:rsidR="00685914" w:rsidRDefault="00685914"/>
    <w:p w14:paraId="7EB4E7FA" w14:textId="4A4559A6" w:rsidR="00685914" w:rsidRDefault="00685914">
      <w:r>
        <w:t>This implies that there is approximately $3.964 million remaining to be let.  We had expected to issue RFPs for projects starting in 2020 and 2021 both this year to assure 2021 projects would begin without contract lag (only two projects were expected to begin in 2021 – both large commercial projects</w:t>
      </w:r>
      <w:r w:rsidR="003D7B9C">
        <w:t>, both discussed below</w:t>
      </w:r>
      <w:r>
        <w:t>).</w:t>
      </w:r>
    </w:p>
    <w:p w14:paraId="0D6D5598" w14:textId="7FD26E12" w:rsidR="00D75E59" w:rsidRDefault="00D75E59"/>
    <w:p w14:paraId="46D5B242" w14:textId="77777777" w:rsidR="004D3067" w:rsidRDefault="004D3067"/>
    <w:p w14:paraId="6AFE7378" w14:textId="6644F813" w:rsidR="00D75E59" w:rsidRPr="00685914" w:rsidRDefault="00685914">
      <w:pPr>
        <w:rPr>
          <w:b/>
          <w:bCs/>
          <w:u w:val="single"/>
        </w:rPr>
      </w:pPr>
      <w:r w:rsidRPr="00685914">
        <w:rPr>
          <w:b/>
          <w:bCs/>
          <w:u w:val="single"/>
        </w:rPr>
        <w:t>Update Process and Considerations</w:t>
      </w:r>
    </w:p>
    <w:p w14:paraId="7EEDE94F" w14:textId="081C77EF" w:rsidR="00685914" w:rsidRDefault="00685914"/>
    <w:p w14:paraId="4731C598" w14:textId="335D61CE" w:rsidR="00685914" w:rsidRDefault="00685914">
      <w:r>
        <w:t xml:space="preserve">The annual update process allows for adjustments in the Plan for changing priorities, opportunities to leverage projects with other states – or recognize new work that has been conducted in other states, timing changes, and so on.   </w:t>
      </w:r>
    </w:p>
    <w:p w14:paraId="207DF78D" w14:textId="1B8E9C4A" w:rsidR="00685914" w:rsidRDefault="00685914"/>
    <w:p w14:paraId="16CD844B" w14:textId="143BAA12" w:rsidR="0033351C" w:rsidRDefault="0033351C">
      <w:r>
        <w:rPr>
          <w:b/>
          <w:bCs/>
        </w:rPr>
        <w:t xml:space="preserve">Recommend </w:t>
      </w:r>
      <w:r w:rsidRPr="0033351C">
        <w:rPr>
          <w:b/>
          <w:bCs/>
        </w:rPr>
        <w:t xml:space="preserve">Delay </w:t>
      </w:r>
      <w:r>
        <w:rPr>
          <w:b/>
          <w:bCs/>
        </w:rPr>
        <w:t xml:space="preserve">of </w:t>
      </w:r>
      <w:r w:rsidRPr="0033351C">
        <w:rPr>
          <w:b/>
          <w:bCs/>
        </w:rPr>
        <w:t xml:space="preserve">2 </w:t>
      </w:r>
      <w:r>
        <w:rPr>
          <w:b/>
          <w:bCs/>
        </w:rPr>
        <w:t xml:space="preserve">Approved </w:t>
      </w:r>
      <w:r w:rsidRPr="0033351C">
        <w:rPr>
          <w:b/>
          <w:bCs/>
        </w:rPr>
        <w:t xml:space="preserve">C&amp;I projects:  </w:t>
      </w:r>
      <w:r w:rsidR="00685914">
        <w:t>The team reviewed the schedules and determined that two projects should shift in schedule</w:t>
      </w:r>
      <w:r>
        <w:t>:</w:t>
      </w:r>
    </w:p>
    <w:p w14:paraId="4315F80E" w14:textId="77777777" w:rsidR="0033351C" w:rsidRDefault="0033351C" w:rsidP="0033351C">
      <w:pPr>
        <w:pStyle w:val="ListParagraph"/>
        <w:numPr>
          <w:ilvl w:val="0"/>
          <w:numId w:val="24"/>
        </w:numPr>
      </w:pPr>
      <w:r>
        <w:t>C1920, EO impact (phase 1 in this plan for $565K)</w:t>
      </w:r>
    </w:p>
    <w:p w14:paraId="21F9FC77" w14:textId="77777777" w:rsidR="0033351C" w:rsidRDefault="0033351C" w:rsidP="0033351C">
      <w:pPr>
        <w:pStyle w:val="ListParagraph"/>
        <w:numPr>
          <w:ilvl w:val="0"/>
          <w:numId w:val="24"/>
        </w:numPr>
      </w:pPr>
      <w:r>
        <w:t>C1918, SBEA Impact ($375K)</w:t>
      </w:r>
    </w:p>
    <w:p w14:paraId="7B2CEBCD" w14:textId="3635A4A0" w:rsidR="00685914" w:rsidRDefault="00685914">
      <w:r>
        <w:t>The two C&amp;I projects that were expected to begin in 2021 are recommended to be shifted into the 2022-24 Evaluation Plan</w:t>
      </w:r>
      <w:r w:rsidR="0033351C">
        <w:t xml:space="preserve"> (freeing up $940K in this plan)</w:t>
      </w:r>
      <w:r>
        <w:t>.  The rationale is that the 5-year ISO schedule does not need updated projects yet.  The negative side of this is that the bulk of these expenditures for these large projects will both occur in the next cycle, taking up a large share of the 3-year plan budget.  We will work to stagger them as much as possible, within the 5</w:t>
      </w:r>
      <w:r w:rsidR="00F80D72">
        <w:t>-</w:t>
      </w:r>
      <w:r>
        <w:t xml:space="preserve">year </w:t>
      </w:r>
      <w:r w:rsidR="0033351C">
        <w:t>cycle needs.</w:t>
      </w:r>
    </w:p>
    <w:p w14:paraId="11F416B6" w14:textId="77777777" w:rsidR="0033351C" w:rsidRDefault="0033351C"/>
    <w:p w14:paraId="3ED78429" w14:textId="2428DFF2" w:rsidR="00685914" w:rsidRDefault="0033351C">
      <w:r w:rsidRPr="0033351C">
        <w:rPr>
          <w:b/>
          <w:bCs/>
        </w:rPr>
        <w:t xml:space="preserve">Other </w:t>
      </w:r>
      <w:r>
        <w:rPr>
          <w:b/>
          <w:bCs/>
        </w:rPr>
        <w:t xml:space="preserve">recommended </w:t>
      </w:r>
      <w:r w:rsidRPr="0033351C">
        <w:rPr>
          <w:b/>
          <w:bCs/>
        </w:rPr>
        <w:t xml:space="preserve">changes to existing </w:t>
      </w:r>
      <w:r>
        <w:rPr>
          <w:b/>
          <w:bCs/>
        </w:rPr>
        <w:t xml:space="preserve">Approved </w:t>
      </w:r>
      <w:r w:rsidRPr="0033351C">
        <w:rPr>
          <w:b/>
          <w:bCs/>
        </w:rPr>
        <w:t>Projects</w:t>
      </w:r>
      <w:r>
        <w:t>:</w:t>
      </w:r>
    </w:p>
    <w:p w14:paraId="0C9F068E" w14:textId="1B7C9425" w:rsidR="0033351C" w:rsidRDefault="0033351C" w:rsidP="0033351C">
      <w:pPr>
        <w:pStyle w:val="ListParagraph"/>
        <w:numPr>
          <w:ilvl w:val="0"/>
          <w:numId w:val="25"/>
        </w:numPr>
      </w:pPr>
      <w:r>
        <w:t>The R1969 project (Evaluation of the behavioral program) should be cancelled as the existing program is being cancelled by Eversource</w:t>
      </w:r>
      <w:r w:rsidR="00F80D72">
        <w:t xml:space="preserve"> ($65K)</w:t>
      </w:r>
    </w:p>
    <w:p w14:paraId="251C30C2" w14:textId="03B0FDA4" w:rsidR="0033351C" w:rsidRDefault="0033351C" w:rsidP="0033351C">
      <w:pPr>
        <w:pStyle w:val="ListParagraph"/>
        <w:numPr>
          <w:ilvl w:val="0"/>
          <w:numId w:val="25"/>
        </w:numPr>
      </w:pPr>
      <w:r>
        <w:t xml:space="preserve">The HES projects are recommended to be revised to include a much deeper drill-down on impact evaluation and evaluation findings.  We are also considering integrating the impact and process work because some of the types of program / results interlinks are difficult to explore when process and impact work are not conducted jointly.  </w:t>
      </w:r>
      <w:r w:rsidR="00F80D72">
        <w:t>HES is the flagship residential program.</w:t>
      </w:r>
      <w:r w:rsidR="0073640A">
        <w:rPr>
          <w:rStyle w:val="FootnoteReference"/>
        </w:rPr>
        <w:footnoteReference w:id="2"/>
      </w:r>
    </w:p>
    <w:p w14:paraId="3B222B0C" w14:textId="12421E5D" w:rsidR="0033351C" w:rsidRPr="00F80D72" w:rsidRDefault="0033351C" w:rsidP="0033351C">
      <w:pPr>
        <w:pStyle w:val="ListParagraph"/>
        <w:numPr>
          <w:ilvl w:val="0"/>
          <w:numId w:val="25"/>
        </w:numPr>
        <w:rPr>
          <w:i/>
          <w:iCs/>
          <w:u w:val="single"/>
        </w:rPr>
      </w:pPr>
      <w:r w:rsidRPr="00F80D72">
        <w:rPr>
          <w:i/>
          <w:iCs/>
          <w:u w:val="single"/>
        </w:rPr>
        <w:t xml:space="preserve">We are strongly considering repurposing the “drill-down” funds from R1603 HES impact to </w:t>
      </w:r>
      <w:r w:rsidR="00F80D72" w:rsidRPr="00F80D72">
        <w:rPr>
          <w:i/>
          <w:iCs/>
          <w:u w:val="single"/>
        </w:rPr>
        <w:t xml:space="preserve">this deeper HES project.  </w:t>
      </w:r>
      <w:r w:rsidR="00F80D72">
        <w:rPr>
          <w:i/>
          <w:iCs/>
          <w:u w:val="single"/>
        </w:rPr>
        <w:t xml:space="preserve">It seems inefficient to re-examine older program data in more detail.  </w:t>
      </w:r>
      <w:r w:rsidR="00F80D72" w:rsidRPr="00F80D72">
        <w:rPr>
          <w:i/>
          <w:iCs/>
          <w:u w:val="single"/>
        </w:rPr>
        <w:t>We are concerned about how this may be accomplished, as this project was part of the previous 3-year plan.</w:t>
      </w:r>
      <w:r w:rsidR="00F80D72">
        <w:rPr>
          <w:i/>
          <w:iCs/>
          <w:u w:val="single"/>
        </w:rPr>
        <w:t xml:space="preserve">  This would be on the order of $60K.</w:t>
      </w:r>
    </w:p>
    <w:p w14:paraId="24D3DE4E" w14:textId="1796BB60" w:rsidR="0033351C" w:rsidRDefault="0033351C">
      <w:r>
        <w:t xml:space="preserve"> </w:t>
      </w:r>
    </w:p>
    <w:p w14:paraId="33A45A01" w14:textId="5629D5FE" w:rsidR="00685914" w:rsidRDefault="00F80D72">
      <w:r>
        <w:t xml:space="preserve">These budget changes total approximately $1.065 million. </w:t>
      </w:r>
    </w:p>
    <w:p w14:paraId="01066FD8" w14:textId="77777777" w:rsidR="00F80D72" w:rsidRDefault="00F80D72">
      <w:pPr>
        <w:rPr>
          <w:b/>
          <w:bCs/>
          <w:u w:val="single"/>
        </w:rPr>
      </w:pPr>
    </w:p>
    <w:p w14:paraId="01F202DB" w14:textId="538A7063" w:rsidR="00F80D72" w:rsidRPr="00F80D72" w:rsidRDefault="00F80D72">
      <w:pPr>
        <w:rPr>
          <w:b/>
          <w:bCs/>
          <w:u w:val="single"/>
        </w:rPr>
      </w:pPr>
      <w:r w:rsidRPr="00F80D72">
        <w:rPr>
          <w:b/>
          <w:bCs/>
          <w:u w:val="single"/>
        </w:rPr>
        <w:t>Project Groupings associated with the 2019-21 Evaluation Plan Update</w:t>
      </w:r>
    </w:p>
    <w:p w14:paraId="776DFC12" w14:textId="77777777" w:rsidR="00F80D72" w:rsidRDefault="00F80D72"/>
    <w:p w14:paraId="6EFD57D4" w14:textId="6E80043B" w:rsidR="00F80D72" w:rsidRDefault="00F80D72" w:rsidP="00F80D72">
      <w:r>
        <w:t>New projects concepts were solicited</w:t>
      </w:r>
      <w:r w:rsidR="003D7B9C">
        <w:t xml:space="preserve"> as part of this update process</w:t>
      </w:r>
      <w:r>
        <w:t xml:space="preserve">, and quite a number were received. </w:t>
      </w:r>
      <w:r>
        <w:t>The EA Team reviewed these projects and identified three main groupings, which we are in the process of scoring.</w:t>
      </w:r>
    </w:p>
    <w:p w14:paraId="5D93E9B3" w14:textId="77777777" w:rsidR="00F80D72" w:rsidRDefault="00F80D72" w:rsidP="00F80D72"/>
    <w:p w14:paraId="69E52361" w14:textId="2E937906" w:rsidR="00F80D72" w:rsidRDefault="00F80D72" w:rsidP="002D4C93">
      <w:pPr>
        <w:pStyle w:val="ListParagraph"/>
        <w:numPr>
          <w:ilvl w:val="0"/>
          <w:numId w:val="26"/>
        </w:numPr>
      </w:pPr>
      <w:r w:rsidRPr="00F967B8">
        <w:rPr>
          <w:b/>
          <w:bCs/>
        </w:rPr>
        <w:t>(Remaining) Existing / Approved projects</w:t>
      </w:r>
      <w:r>
        <w:t>:  These projects were ranked highly in the Adopted Plan and are still in contention for the Updated Plan.</w:t>
      </w:r>
    </w:p>
    <w:p w14:paraId="6A96AA3A" w14:textId="516CF04C" w:rsidR="00F80D72" w:rsidRDefault="00F80D72" w:rsidP="002D4C93">
      <w:pPr>
        <w:pStyle w:val="ListParagraph"/>
        <w:numPr>
          <w:ilvl w:val="0"/>
          <w:numId w:val="26"/>
        </w:numPr>
      </w:pPr>
      <w:r w:rsidRPr="00F967B8">
        <w:rPr>
          <w:b/>
          <w:bCs/>
        </w:rPr>
        <w:t>New Project Ideas that we believe should be prioritized as part of the X19</w:t>
      </w:r>
      <w:r w:rsidR="002D4C93" w:rsidRPr="00F967B8">
        <w:rPr>
          <w:b/>
          <w:bCs/>
        </w:rPr>
        <w:t>31 Comprehensive Cross-cutting PSD Review project</w:t>
      </w:r>
      <w:r w:rsidR="00F967B8">
        <w:rPr>
          <w:b/>
          <w:bCs/>
        </w:rPr>
        <w:t xml:space="preserve"> that is underway</w:t>
      </w:r>
      <w:r w:rsidR="002D4C93">
        <w:t xml:space="preserve">.  This </w:t>
      </w:r>
      <w:r w:rsidR="00F967B8">
        <w:t xml:space="preserve">X1931 </w:t>
      </w:r>
      <w:r w:rsidR="002D4C93">
        <w:t xml:space="preserve">project includes </w:t>
      </w:r>
      <w:r w:rsidR="00F967B8">
        <w:t xml:space="preserve">two phases:  an in-depth review of the existing PSD (strong / weak / missing numbers and computations; underpinnings, etc.), and prioritization of gaps, followed by “easy fill-ins” from other states with strong numbers, and funds for some primary research on priority gaps.  Next steps / priority gaps that were not filled within the project will also be identified.  We have categorized a number of the new project ideas as </w:t>
      </w:r>
      <w:r w:rsidR="00F967B8" w:rsidRPr="00490E7C">
        <w:rPr>
          <w:i/>
          <w:iCs/>
        </w:rPr>
        <w:t>appropriate to be prioritized under this integrated PSD process, and not try to conduct another prioritization outside that process</w:t>
      </w:r>
      <w:r w:rsidR="00F967B8">
        <w:t xml:space="preserve">. </w:t>
      </w:r>
    </w:p>
    <w:p w14:paraId="5259BABD" w14:textId="5B119DB3" w:rsidR="00F967B8" w:rsidRDefault="00F967B8" w:rsidP="002D4C93">
      <w:pPr>
        <w:pStyle w:val="ListParagraph"/>
        <w:numPr>
          <w:ilvl w:val="0"/>
          <w:numId w:val="26"/>
        </w:numPr>
      </w:pPr>
      <w:r>
        <w:rPr>
          <w:b/>
          <w:bCs/>
        </w:rPr>
        <w:t>New Project Ideas that should be Prioritized as part of this Plan Update Process</w:t>
      </w:r>
      <w:r w:rsidRPr="00F967B8">
        <w:t>.</w:t>
      </w:r>
      <w:r>
        <w:t xml:space="preserve">  A set of new project ideas that were not directly PSD</w:t>
      </w:r>
      <w:r w:rsidR="0073640A">
        <w:t>;</w:t>
      </w:r>
      <w:r>
        <w:t xml:space="preserve"> or were integrated, across-sector items</w:t>
      </w:r>
      <w:r w:rsidR="0073640A">
        <w:t>;</w:t>
      </w:r>
      <w:r>
        <w:t xml:space="preserve"> or were (long) identified as </w:t>
      </w:r>
      <w:r w:rsidR="0073640A">
        <w:t xml:space="preserve">important </w:t>
      </w:r>
      <w:r>
        <w:t>topics</w:t>
      </w:r>
      <w:r w:rsidR="0073640A">
        <w:t>;</w:t>
      </w:r>
      <w:r>
        <w:t xml:space="preserve"> </w:t>
      </w:r>
      <w:r w:rsidR="0073640A">
        <w:t xml:space="preserve">or </w:t>
      </w:r>
      <w:r>
        <w:t>were larger-scale projects that would likely not be affordable under the PSD project umbrella</w:t>
      </w:r>
      <w:r w:rsidR="0073640A">
        <w:t>;</w:t>
      </w:r>
      <w:r>
        <w:t xml:space="preserve"> or </w:t>
      </w:r>
      <w:r w:rsidR="0073640A">
        <w:t>distinct for other reasons,</w:t>
      </w:r>
      <w:r>
        <w:t xml:space="preserve"> are also being scored / prioritized by the EA Team.</w:t>
      </w:r>
    </w:p>
    <w:p w14:paraId="3ACC66CB" w14:textId="40037DAF" w:rsidR="00F80D72" w:rsidRDefault="00F80D72" w:rsidP="00F80D72"/>
    <w:p w14:paraId="58F714F7" w14:textId="2CB1EE8B" w:rsidR="004D3067" w:rsidRDefault="00F967B8" w:rsidP="00F80D72">
      <w:r>
        <w:t>The three groupings of projects are listed below and we expect to finish the primary scoring shortly</w:t>
      </w:r>
      <w:r w:rsidR="004D3067">
        <w:t xml:space="preserve"> (not prioritized within groups)</w:t>
      </w:r>
      <w:r>
        <w:t xml:space="preserve">.  </w:t>
      </w:r>
    </w:p>
    <w:p w14:paraId="15B36E7A" w14:textId="0127F826" w:rsidR="004D3067" w:rsidRDefault="004D3067" w:rsidP="004D3067">
      <w:pPr>
        <w:pStyle w:val="ListParagraph"/>
        <w:numPr>
          <w:ilvl w:val="0"/>
          <w:numId w:val="27"/>
        </w:numPr>
      </w:pPr>
      <w:r>
        <w:t>The running total including all 3-year projects that are contracted plus new ideas is about $</w:t>
      </w:r>
      <w:r w:rsidR="003D7B9C">
        <w:t>8.63</w:t>
      </w:r>
      <w:r>
        <w:t xml:space="preserve"> million and the approved budget for the 3-year plan is $7.93 million</w:t>
      </w:r>
      <w:r w:rsidR="003D7B9C">
        <w:t xml:space="preserve"> (exceeding total by $700K)</w:t>
      </w:r>
      <w:r>
        <w:t>.</w:t>
      </w:r>
      <w:r w:rsidR="005F0706">
        <w:rPr>
          <w:rStyle w:val="FootnoteReference"/>
        </w:rPr>
        <w:footnoteReference w:id="3"/>
      </w:r>
      <w:r>
        <w:t xml:space="preserve">  </w:t>
      </w:r>
    </w:p>
    <w:p w14:paraId="63BD5263" w14:textId="6EC45F25" w:rsidR="004D3067" w:rsidRDefault="004D3067" w:rsidP="003D7B9C">
      <w:pPr>
        <w:pStyle w:val="ListParagraph"/>
        <w:numPr>
          <w:ilvl w:val="0"/>
          <w:numId w:val="27"/>
        </w:numPr>
      </w:pPr>
      <w:r>
        <w:lastRenderedPageBreak/>
        <w:t>Before adding new projects, the running budget is $7</w:t>
      </w:r>
      <w:r w:rsidR="003D7B9C">
        <w:t>6.774</w:t>
      </w:r>
      <w:r>
        <w:t xml:space="preserve"> million</w:t>
      </w:r>
      <w:r>
        <w:rPr>
          <w:rStyle w:val="FootnoteReference"/>
        </w:rPr>
        <w:footnoteReference w:id="4"/>
      </w:r>
      <w:r>
        <w:t xml:space="preserve"> ($</w:t>
      </w:r>
      <w:r w:rsidR="003D7B9C">
        <w:t>1.155 million below</w:t>
      </w:r>
      <w:r>
        <w:t xml:space="preserve"> approved budget)</w:t>
      </w:r>
    </w:p>
    <w:p w14:paraId="2FFC84B0" w14:textId="50573535" w:rsidR="004D3067" w:rsidRDefault="004D3067" w:rsidP="00F80D72">
      <w:r>
        <w:t>The next step is identifying the highest priority projects within the approved budget, using the multistep scoring process endorsed by the Committee.  This step is underway.</w:t>
      </w:r>
    </w:p>
    <w:p w14:paraId="5D312FA9" w14:textId="77777777" w:rsidR="004D3067" w:rsidRDefault="004D3067" w:rsidP="00F80D72"/>
    <w:p w14:paraId="69ECCE8B" w14:textId="2F1CDBC6" w:rsidR="00F80D72" w:rsidRDefault="00F967B8" w:rsidP="00F80D72">
      <w:r>
        <w:t>We would like to try to have the discussion(s) and approval with the Committee in December, if discussion dates can be identified.  Then we can develop the needed RFPs and get them on the street asap</w:t>
      </w:r>
      <w:r w:rsidR="00271193">
        <w:t xml:space="preserve"> in 2020.  Recall we do solicit </w:t>
      </w:r>
      <w:r w:rsidR="0073640A">
        <w:t xml:space="preserve">edits / </w:t>
      </w:r>
      <w:r w:rsidR="00271193">
        <w:t>comments from the Committee on the RFPs as a part of that process</w:t>
      </w:r>
      <w:r>
        <w:t>.</w:t>
      </w:r>
      <w:r w:rsidR="004D3067">
        <w:t xml:space="preserve">  </w:t>
      </w:r>
      <w:r w:rsidR="005F0706" w:rsidRPr="005F0706">
        <w:rPr>
          <w:b/>
          <w:bCs/>
          <w:i/>
          <w:iCs/>
          <w:u w:val="single"/>
        </w:rPr>
        <w:t>Note, we are deferring any changes in the competitive contracting process until after our Roadmap revision process, planned for 2020; the full competitive process will be used for these projects.</w:t>
      </w:r>
    </w:p>
    <w:p w14:paraId="7991ADC9" w14:textId="77777777" w:rsidR="003D7B9C" w:rsidRDefault="003D7B9C" w:rsidP="00F80D72">
      <w:bookmarkStart w:id="0" w:name="_GoBack"/>
      <w:bookmarkEnd w:id="0"/>
    </w:p>
    <w:p w14:paraId="3FCF44EE" w14:textId="77777777" w:rsidR="005F0706" w:rsidRDefault="005F0706">
      <w:r>
        <w:br w:type="page"/>
      </w:r>
    </w:p>
    <w:p w14:paraId="6F47D70C" w14:textId="3068CEB8" w:rsidR="003D7B9C" w:rsidRDefault="003D7B9C" w:rsidP="00F80D72">
      <w:r>
        <w:lastRenderedPageBreak/>
        <w:t xml:space="preserve">Table 3:  Status of Projects and Concepts for 2019-2021 Plan Update – </w:t>
      </w:r>
      <w:r w:rsidR="00532C38">
        <w:t xml:space="preserve">Existing Contracts and </w:t>
      </w:r>
      <w:r>
        <w:t xml:space="preserve">Proposed </w:t>
      </w:r>
      <w:r w:rsidR="00532C38">
        <w:t>Scoring Groups</w:t>
      </w:r>
    </w:p>
    <w:p w14:paraId="414AF775" w14:textId="1168D462" w:rsidR="00532C38" w:rsidRDefault="00532C38" w:rsidP="00F80D72">
      <w:r w:rsidRPr="00532C38">
        <w:drawing>
          <wp:inline distT="0" distB="0" distL="0" distR="0" wp14:anchorId="52D0B9B1" wp14:editId="3F1676BC">
            <wp:extent cx="5832475" cy="6818886"/>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36391" cy="6823464"/>
                    </a:xfrm>
                    <a:prstGeom prst="rect">
                      <a:avLst/>
                    </a:prstGeom>
                    <a:noFill/>
                    <a:ln>
                      <a:noFill/>
                    </a:ln>
                  </pic:spPr>
                </pic:pic>
              </a:graphicData>
            </a:graphic>
          </wp:inline>
        </w:drawing>
      </w:r>
    </w:p>
    <w:p w14:paraId="0B9C8400" w14:textId="77777777" w:rsidR="005F0706" w:rsidRDefault="005F0706">
      <w:r>
        <w:br w:type="page"/>
      </w:r>
    </w:p>
    <w:p w14:paraId="4F4F0D83" w14:textId="0D94415F" w:rsidR="003D7B9C" w:rsidRDefault="003D7B9C" w:rsidP="003D7B9C">
      <w:r>
        <w:lastRenderedPageBreak/>
        <w:t xml:space="preserve">Table </w:t>
      </w:r>
      <w:r>
        <w:t>4</w:t>
      </w:r>
      <w:r>
        <w:t>:  Status of Projects and Concepts for 2019-2021 Plan Update</w:t>
      </w:r>
      <w:r>
        <w:t xml:space="preserve"> – Proposed PSD and Excluded Groups</w:t>
      </w:r>
    </w:p>
    <w:p w14:paraId="1DA54095" w14:textId="44F8DDF8" w:rsidR="00490E7C" w:rsidRDefault="00490E7C" w:rsidP="003D7B9C">
      <w:r w:rsidRPr="00490E7C">
        <w:drawing>
          <wp:inline distT="0" distB="0" distL="0" distR="0" wp14:anchorId="57F1D6F3" wp14:editId="06011B9F">
            <wp:extent cx="5787426" cy="49180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90640" cy="4920806"/>
                    </a:xfrm>
                    <a:prstGeom prst="rect">
                      <a:avLst/>
                    </a:prstGeom>
                    <a:noFill/>
                    <a:ln>
                      <a:noFill/>
                    </a:ln>
                  </pic:spPr>
                </pic:pic>
              </a:graphicData>
            </a:graphic>
          </wp:inline>
        </w:drawing>
      </w:r>
    </w:p>
    <w:p w14:paraId="3231681C" w14:textId="77777777" w:rsidR="00490E7C" w:rsidRDefault="00490E7C" w:rsidP="003D7B9C"/>
    <w:p w14:paraId="1FBA7609" w14:textId="1AE7A333" w:rsidR="003D7B9C" w:rsidRDefault="003D7B9C" w:rsidP="00F80D72"/>
    <w:p w14:paraId="08BD84CA" w14:textId="77777777" w:rsidR="00532C38" w:rsidRDefault="00532C38" w:rsidP="00F80D72"/>
    <w:p w14:paraId="24D4975B" w14:textId="699BE344" w:rsidR="00685914" w:rsidRDefault="00685914"/>
    <w:sectPr w:rsidR="00685914">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23C0F9" w14:textId="77777777" w:rsidR="00C2785C" w:rsidRDefault="00C2785C" w:rsidP="00D75E59">
      <w:r>
        <w:separator/>
      </w:r>
    </w:p>
  </w:endnote>
  <w:endnote w:type="continuationSeparator" w:id="0">
    <w:p w14:paraId="351FA31B" w14:textId="77777777" w:rsidR="00C2785C" w:rsidRDefault="00C2785C" w:rsidP="00D75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9BC51" w14:textId="65683328" w:rsidR="003D7B9C" w:rsidRPr="003D7B9C" w:rsidRDefault="003D7B9C" w:rsidP="003D7B9C">
    <w:pPr>
      <w:pStyle w:val="Footer"/>
      <w:pBdr>
        <w:top w:val="single" w:sz="4" w:space="1" w:color="D9D9D9" w:themeColor="background1" w:themeShade="D9"/>
      </w:pBdr>
      <w:tabs>
        <w:tab w:val="left" w:pos="1595"/>
      </w:tabs>
      <w:rPr>
        <w:b/>
        <w:bCs/>
        <w:sz w:val="20"/>
        <w:szCs w:val="20"/>
      </w:rPr>
    </w:pPr>
    <w:sdt>
      <w:sdtPr>
        <w:rPr>
          <w:sz w:val="20"/>
          <w:szCs w:val="20"/>
        </w:rPr>
        <w:id w:val="-1192456742"/>
        <w:docPartObj>
          <w:docPartGallery w:val="Page Numbers (Bottom of Page)"/>
          <w:docPartUnique/>
        </w:docPartObj>
      </w:sdtPr>
      <w:sdtEndPr>
        <w:rPr>
          <w:color w:val="7F7F7F" w:themeColor="background1" w:themeShade="7F"/>
        </w:rPr>
      </w:sdtEndPr>
      <w:sdtContent>
        <w:r w:rsidRPr="003D7B9C">
          <w:rPr>
            <w:sz w:val="20"/>
            <w:szCs w:val="20"/>
          </w:rPr>
          <w:fldChar w:fldCharType="begin"/>
        </w:r>
        <w:r w:rsidRPr="003D7B9C">
          <w:rPr>
            <w:sz w:val="20"/>
            <w:szCs w:val="20"/>
          </w:rPr>
          <w:instrText xml:space="preserve"> PAGE   \* MERGEFORMAT </w:instrText>
        </w:r>
        <w:r w:rsidRPr="003D7B9C">
          <w:rPr>
            <w:sz w:val="20"/>
            <w:szCs w:val="20"/>
          </w:rPr>
          <w:fldChar w:fldCharType="separate"/>
        </w:r>
        <w:r w:rsidRPr="003D7B9C">
          <w:rPr>
            <w:b/>
            <w:bCs/>
            <w:noProof/>
            <w:sz w:val="20"/>
            <w:szCs w:val="20"/>
          </w:rPr>
          <w:t>2</w:t>
        </w:r>
        <w:r w:rsidRPr="003D7B9C">
          <w:rPr>
            <w:b/>
            <w:bCs/>
            <w:noProof/>
            <w:sz w:val="20"/>
            <w:szCs w:val="20"/>
          </w:rPr>
          <w:fldChar w:fldCharType="end"/>
        </w:r>
        <w:r w:rsidRPr="003D7B9C">
          <w:rPr>
            <w:b/>
            <w:bCs/>
            <w:sz w:val="20"/>
            <w:szCs w:val="20"/>
          </w:rPr>
          <w:t xml:space="preserve"> | </w:t>
        </w:r>
        <w:r w:rsidRPr="003D7B9C">
          <w:rPr>
            <w:color w:val="7F7F7F" w:themeColor="background1" w:themeShade="7F"/>
            <w:sz w:val="20"/>
            <w:szCs w:val="20"/>
          </w:rPr>
          <w:t>Page</w:t>
        </w:r>
      </w:sdtContent>
    </w:sdt>
    <w:r w:rsidRPr="003D7B9C">
      <w:rPr>
        <w:color w:val="7F7F7F" w:themeColor="background1" w:themeShade="7F"/>
        <w:sz w:val="20"/>
        <w:szCs w:val="20"/>
      </w:rPr>
      <w:tab/>
      <w:t xml:space="preserve"> Status report / Evaluation Plan Update-Dec 2019 Meeting</w:t>
    </w:r>
  </w:p>
  <w:p w14:paraId="2909C5B5" w14:textId="77777777" w:rsidR="003D7B9C" w:rsidRDefault="003D7B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DBBAF9" w14:textId="77777777" w:rsidR="00C2785C" w:rsidRDefault="00C2785C" w:rsidP="00D75E59">
      <w:r>
        <w:separator/>
      </w:r>
    </w:p>
  </w:footnote>
  <w:footnote w:type="continuationSeparator" w:id="0">
    <w:p w14:paraId="21F18675" w14:textId="77777777" w:rsidR="00C2785C" w:rsidRDefault="00C2785C" w:rsidP="00D75E59">
      <w:r>
        <w:continuationSeparator/>
      </w:r>
    </w:p>
  </w:footnote>
  <w:footnote w:id="1">
    <w:p w14:paraId="720C4B48" w14:textId="471E48B1" w:rsidR="00D75E59" w:rsidRPr="00D75E59" w:rsidRDefault="00D75E59" w:rsidP="00D75E59">
      <w:pPr>
        <w:rPr>
          <w:i/>
          <w:iCs/>
          <w:sz w:val="20"/>
          <w:szCs w:val="20"/>
        </w:rPr>
      </w:pPr>
      <w:r w:rsidRPr="00D75E59">
        <w:rPr>
          <w:rStyle w:val="FootnoteReference"/>
          <w:i/>
          <w:iCs/>
          <w:sz w:val="20"/>
          <w:szCs w:val="20"/>
        </w:rPr>
        <w:footnoteRef/>
      </w:r>
      <w:r w:rsidRPr="00D75E59">
        <w:rPr>
          <w:i/>
          <w:iCs/>
          <w:sz w:val="20"/>
          <w:szCs w:val="20"/>
        </w:rPr>
        <w:t xml:space="preserve"> </w:t>
      </w:r>
      <w:r w:rsidRPr="00D75E59">
        <w:rPr>
          <w:i/>
          <w:iCs/>
          <w:sz w:val="20"/>
          <w:szCs w:val="20"/>
        </w:rPr>
        <w:t xml:space="preserve">Important note, the contracting process </w:t>
      </w:r>
      <w:r w:rsidRPr="00D75E59">
        <w:rPr>
          <w:i/>
          <w:iCs/>
          <w:sz w:val="20"/>
          <w:szCs w:val="20"/>
        </w:rPr>
        <w:t xml:space="preserve">for UI </w:t>
      </w:r>
      <w:r w:rsidRPr="00D75E59">
        <w:rPr>
          <w:i/>
          <w:iCs/>
          <w:sz w:val="20"/>
          <w:szCs w:val="20"/>
        </w:rPr>
        <w:t>is not yet complete</w:t>
      </w:r>
      <w:r w:rsidRPr="00D75E59">
        <w:rPr>
          <w:i/>
          <w:iCs/>
          <w:sz w:val="20"/>
          <w:szCs w:val="20"/>
        </w:rPr>
        <w:t xml:space="preserve"> as of this date</w:t>
      </w:r>
      <w:r w:rsidRPr="00D75E59">
        <w:rPr>
          <w:i/>
          <w:iCs/>
          <w:sz w:val="20"/>
          <w:szCs w:val="20"/>
        </w:rPr>
        <w:t>.  This has</w:t>
      </w:r>
      <w:r w:rsidRPr="00D75E59">
        <w:rPr>
          <w:i/>
          <w:iCs/>
          <w:sz w:val="20"/>
          <w:szCs w:val="20"/>
        </w:rPr>
        <w:t xml:space="preserve"> significantly</w:t>
      </w:r>
      <w:r w:rsidRPr="00D75E59">
        <w:rPr>
          <w:i/>
          <w:iCs/>
          <w:sz w:val="20"/>
          <w:szCs w:val="20"/>
        </w:rPr>
        <w:t xml:space="preserve"> impacted the amount that has been able to be spent in 2019 (far below expectations), as well as work progress because data </w:t>
      </w:r>
      <w:r w:rsidRPr="00D75E59">
        <w:rPr>
          <w:i/>
          <w:iCs/>
          <w:sz w:val="20"/>
          <w:szCs w:val="20"/>
        </w:rPr>
        <w:t xml:space="preserve">have not yet been </w:t>
      </w:r>
      <w:r w:rsidRPr="00D75E59">
        <w:rPr>
          <w:i/>
          <w:iCs/>
          <w:sz w:val="20"/>
          <w:szCs w:val="20"/>
        </w:rPr>
        <w:t xml:space="preserve">provided by UI because </w:t>
      </w:r>
      <w:r w:rsidRPr="00D75E59">
        <w:rPr>
          <w:i/>
          <w:iCs/>
          <w:sz w:val="20"/>
          <w:szCs w:val="20"/>
        </w:rPr>
        <w:t>they have not completed their contracting process.  Eversource completed the process some months ago and has provided data per requests.</w:t>
      </w:r>
    </w:p>
    <w:p w14:paraId="4297CFCB" w14:textId="5CB10683" w:rsidR="00D75E59" w:rsidRPr="00D75E59" w:rsidRDefault="00D75E59">
      <w:pPr>
        <w:pStyle w:val="FootnoteText"/>
        <w:rPr>
          <w:i/>
          <w:iCs/>
          <w:sz w:val="20"/>
          <w:szCs w:val="18"/>
        </w:rPr>
      </w:pPr>
    </w:p>
  </w:footnote>
  <w:footnote w:id="2">
    <w:p w14:paraId="37FF2890" w14:textId="4CF5E490" w:rsidR="0073640A" w:rsidRPr="0073640A" w:rsidRDefault="0073640A">
      <w:pPr>
        <w:pStyle w:val="FootnoteText"/>
        <w:rPr>
          <w:i/>
          <w:iCs/>
        </w:rPr>
      </w:pPr>
      <w:r w:rsidRPr="0073640A">
        <w:rPr>
          <w:rStyle w:val="FootnoteReference"/>
          <w:i/>
          <w:iCs/>
          <w:sz w:val="20"/>
          <w:szCs w:val="18"/>
        </w:rPr>
        <w:footnoteRef/>
      </w:r>
      <w:r w:rsidRPr="0073640A">
        <w:rPr>
          <w:i/>
          <w:iCs/>
          <w:sz w:val="20"/>
          <w:szCs w:val="18"/>
        </w:rPr>
        <w:t xml:space="preserve"> Note, a separate MF impact evaluation has already been contracted and is underway.  </w:t>
      </w:r>
    </w:p>
  </w:footnote>
  <w:footnote w:id="3">
    <w:p w14:paraId="75678CA3" w14:textId="6A3F3FAC" w:rsidR="005F0706" w:rsidRDefault="005F0706">
      <w:pPr>
        <w:pStyle w:val="FootnoteText"/>
      </w:pPr>
      <w:r>
        <w:rPr>
          <w:rStyle w:val="FootnoteReference"/>
        </w:rPr>
        <w:footnoteRef/>
      </w:r>
      <w:r>
        <w:t xml:space="preserve"> </w:t>
      </w:r>
      <w:r w:rsidRPr="005F0706">
        <w:rPr>
          <w:i/>
          <w:iCs/>
        </w:rPr>
        <w:t xml:space="preserve">This will change if we elect to retain some specific budget dollars for next year’s </w:t>
      </w:r>
      <w:r>
        <w:rPr>
          <w:i/>
          <w:iCs/>
        </w:rPr>
        <w:t>emerging issues (a la X1940)</w:t>
      </w:r>
      <w:r w:rsidRPr="005F0706">
        <w:rPr>
          <w:i/>
          <w:iCs/>
        </w:rPr>
        <w:t>.</w:t>
      </w:r>
    </w:p>
  </w:footnote>
  <w:footnote w:id="4">
    <w:p w14:paraId="0C103600" w14:textId="44553128" w:rsidR="004D3067" w:rsidRPr="004D3067" w:rsidRDefault="004D3067">
      <w:pPr>
        <w:pStyle w:val="FootnoteText"/>
        <w:rPr>
          <w:i/>
          <w:iCs/>
        </w:rPr>
      </w:pPr>
      <w:r w:rsidRPr="004D3067">
        <w:rPr>
          <w:rStyle w:val="FootnoteReference"/>
          <w:i/>
          <w:iCs/>
          <w:sz w:val="20"/>
          <w:szCs w:val="18"/>
        </w:rPr>
        <w:footnoteRef/>
      </w:r>
      <w:r w:rsidRPr="004D3067">
        <w:rPr>
          <w:i/>
          <w:iCs/>
          <w:sz w:val="20"/>
          <w:szCs w:val="18"/>
        </w:rPr>
        <w:t xml:space="preserve"> Including the enhanced NEI budget; the new concept portion of that budget is about $200K.</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F6A075B"/>
    <w:multiLevelType w:val="hybridMultilevel"/>
    <w:tmpl w:val="CFD0D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3CA00A67"/>
    <w:multiLevelType w:val="hybridMultilevel"/>
    <w:tmpl w:val="A3EE4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4BCA4A2F"/>
    <w:multiLevelType w:val="hybridMultilevel"/>
    <w:tmpl w:val="4ED23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7EAF4E47"/>
    <w:multiLevelType w:val="hybridMultilevel"/>
    <w:tmpl w:val="A4D64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2"/>
  </w:num>
  <w:num w:numId="3">
    <w:abstractNumId w:val="10"/>
  </w:num>
  <w:num w:numId="4">
    <w:abstractNumId w:val="24"/>
  </w:num>
  <w:num w:numId="5">
    <w:abstractNumId w:val="14"/>
  </w:num>
  <w:num w:numId="6">
    <w:abstractNumId w:val="17"/>
  </w:num>
  <w:num w:numId="7">
    <w:abstractNumId w:val="2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5"/>
  </w:num>
  <w:num w:numId="19">
    <w:abstractNumId w:val="16"/>
  </w:num>
  <w:num w:numId="20">
    <w:abstractNumId w:val="23"/>
  </w:num>
  <w:num w:numId="21">
    <w:abstractNumId w:val="19"/>
  </w:num>
  <w:num w:numId="22">
    <w:abstractNumId w:val="11"/>
  </w:num>
  <w:num w:numId="23">
    <w:abstractNumId w:val="25"/>
  </w:num>
  <w:num w:numId="24">
    <w:abstractNumId w:val="13"/>
  </w:num>
  <w:num w:numId="25">
    <w:abstractNumId w:val="21"/>
  </w:num>
  <w:num w:numId="26">
    <w:abstractNumId w:val="26"/>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E59"/>
    <w:rsid w:val="00271193"/>
    <w:rsid w:val="002D4C93"/>
    <w:rsid w:val="0033351C"/>
    <w:rsid w:val="003D7B9C"/>
    <w:rsid w:val="004600C1"/>
    <w:rsid w:val="00490E7C"/>
    <w:rsid w:val="004D3067"/>
    <w:rsid w:val="00532C38"/>
    <w:rsid w:val="00534D46"/>
    <w:rsid w:val="005F0706"/>
    <w:rsid w:val="00645252"/>
    <w:rsid w:val="00685914"/>
    <w:rsid w:val="006D3D74"/>
    <w:rsid w:val="0073640A"/>
    <w:rsid w:val="0083569A"/>
    <w:rsid w:val="00A9204E"/>
    <w:rsid w:val="00C2785C"/>
    <w:rsid w:val="00D75E59"/>
    <w:rsid w:val="00F80D72"/>
    <w:rsid w:val="00F96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15F6D"/>
  <w15:chartTrackingRefBased/>
  <w15:docId w15:val="{311C37B4-5FB5-4E90-959B-12EC342C4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TOC9">
    <w:name w:val="toc 9"/>
    <w:basedOn w:val="Normal"/>
    <w:next w:val="Normal"/>
    <w:autoRedefine/>
    <w:uiPriority w:val="39"/>
    <w:semiHidden/>
    <w:unhideWhenUsed/>
    <w:rsid w:val="0083569A"/>
    <w:pPr>
      <w:spacing w:after="120"/>
      <w:ind w:left="1757"/>
    </w:pPr>
  </w:style>
  <w:style w:type="character" w:styleId="FootnoteReference">
    <w:name w:val="footnote reference"/>
    <w:basedOn w:val="DefaultParagraphFont"/>
    <w:uiPriority w:val="99"/>
    <w:semiHidden/>
    <w:unhideWhenUsed/>
    <w:rsid w:val="00D75E59"/>
    <w:rPr>
      <w:vertAlign w:val="superscript"/>
    </w:rPr>
  </w:style>
  <w:style w:type="paragraph" w:styleId="ListParagraph">
    <w:name w:val="List Paragraph"/>
    <w:basedOn w:val="Normal"/>
    <w:uiPriority w:val="34"/>
    <w:unhideWhenUsed/>
    <w:qFormat/>
    <w:rsid w:val="003335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552010">
      <w:bodyDiv w:val="1"/>
      <w:marLeft w:val="0"/>
      <w:marRight w:val="0"/>
      <w:marTop w:val="0"/>
      <w:marBottom w:val="0"/>
      <w:divBdr>
        <w:top w:val="none" w:sz="0" w:space="0" w:color="auto"/>
        <w:left w:val="none" w:sz="0" w:space="0" w:color="auto"/>
        <w:bottom w:val="none" w:sz="0" w:space="0" w:color="auto"/>
        <w:right w:val="none" w:sz="0" w:space="0" w:color="auto"/>
      </w:divBdr>
    </w:div>
    <w:div w:id="27788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kumatz\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4.xml><?xml version="1.0" encoding="utf-8"?>
<ds:datastoreItem xmlns:ds="http://schemas.openxmlformats.org/officeDocument/2006/customXml" ds:itemID="{692556E0-3DA5-431F-85CE-415AF7B71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13</TotalTime>
  <Pages>6</Pages>
  <Words>1007</Words>
  <Characters>5743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Skumatz</dc:creator>
  <cp:keywords/>
  <dc:description/>
  <cp:lastModifiedBy>Lisa Skumatz</cp:lastModifiedBy>
  <cp:revision>5</cp:revision>
  <dcterms:created xsi:type="dcterms:W3CDTF">2019-12-09T13:36:00Z</dcterms:created>
  <dcterms:modified xsi:type="dcterms:W3CDTF">2019-12-09T13:49:00Z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