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CDEC20" w14:textId="15E86045" w:rsidR="00A3366E" w:rsidRDefault="00A3366E">
      <w:pPr>
        <w:rPr>
          <w:b/>
          <w:bCs/>
          <w:sz w:val="28"/>
          <w:szCs w:val="28"/>
        </w:rPr>
      </w:pPr>
    </w:p>
    <w:p w14:paraId="422120D6" w14:textId="77777777" w:rsidR="00A3366E" w:rsidRDefault="00A3366E">
      <w:pPr>
        <w:rPr>
          <w:b/>
          <w:bCs/>
          <w:sz w:val="28"/>
          <w:szCs w:val="28"/>
        </w:rPr>
      </w:pPr>
      <w:r>
        <w:rPr>
          <w:b/>
          <w:bCs/>
          <w:sz w:val="28"/>
          <w:szCs w:val="28"/>
        </w:rPr>
        <w:t>Discussion Plan – Meeting of 12/6/2019</w:t>
      </w:r>
    </w:p>
    <w:p w14:paraId="678B12B1" w14:textId="504C7D3B" w:rsidR="00A3366E" w:rsidRDefault="00A3366E">
      <w:pPr>
        <w:rPr>
          <w:b/>
          <w:bCs/>
          <w:sz w:val="28"/>
          <w:szCs w:val="28"/>
        </w:rPr>
      </w:pPr>
    </w:p>
    <w:p w14:paraId="43711ABF" w14:textId="3F6B27D2" w:rsidR="00A3366E" w:rsidRDefault="00A3366E" w:rsidP="00A3366E">
      <w:r>
        <w:rPr>
          <w:b/>
          <w:bCs/>
        </w:rPr>
        <w:t>Desired outcome of the meeting</w:t>
      </w:r>
      <w:r>
        <w:t xml:space="preserve">:  agreement </w:t>
      </w:r>
      <w:r w:rsidR="00AC0911">
        <w:t xml:space="preserve">between EA Team and Utilities </w:t>
      </w:r>
      <w:r>
        <w:t>on treatment of how HES evaluation results are integrated into the PSD &amp; Plan.</w:t>
      </w:r>
    </w:p>
    <w:p w14:paraId="651BDD36" w14:textId="77777777" w:rsidR="00A3366E" w:rsidRDefault="00A3366E" w:rsidP="00A3366E"/>
    <w:p w14:paraId="790259EC" w14:textId="77777777" w:rsidR="00A3366E" w:rsidRDefault="00A3366E" w:rsidP="00A3366E">
      <w:r>
        <w:rPr>
          <w:b/>
          <w:bCs/>
        </w:rPr>
        <w:t>Agenda</w:t>
      </w:r>
      <w:r>
        <w:t xml:space="preserve">: </w:t>
      </w:r>
    </w:p>
    <w:p w14:paraId="6A40B5DB" w14:textId="77777777" w:rsidR="00A3366E" w:rsidRDefault="00A3366E" w:rsidP="00A3366E">
      <w:pPr>
        <w:pStyle w:val="ListParagraph"/>
        <w:numPr>
          <w:ilvl w:val="0"/>
          <w:numId w:val="4"/>
        </w:numPr>
        <w:spacing w:after="0" w:line="240" w:lineRule="auto"/>
        <w:contextualSpacing w:val="0"/>
        <w:rPr>
          <w:rFonts w:eastAsia="Times New Roman"/>
        </w:rPr>
      </w:pPr>
      <w:r>
        <w:rPr>
          <w:rFonts w:eastAsia="Times New Roman"/>
        </w:rPr>
        <w:t>Review whether Utilities have sent marked-up / edited version of the attachment, and walk through of those changes, in order. (or walk through EA Team entries)</w:t>
      </w:r>
    </w:p>
    <w:p w14:paraId="4F8D8DF7" w14:textId="77777777" w:rsidR="00A3366E" w:rsidRDefault="00A3366E" w:rsidP="00A3366E">
      <w:pPr>
        <w:pStyle w:val="ListParagraph"/>
        <w:numPr>
          <w:ilvl w:val="0"/>
          <w:numId w:val="4"/>
        </w:numPr>
        <w:spacing w:after="0" w:line="240" w:lineRule="auto"/>
        <w:contextualSpacing w:val="0"/>
        <w:rPr>
          <w:rFonts w:eastAsia="Times New Roman"/>
        </w:rPr>
      </w:pPr>
      <w:r>
        <w:rPr>
          <w:rFonts w:eastAsia="Times New Roman"/>
        </w:rPr>
        <w:t>Discussion of the items</w:t>
      </w:r>
    </w:p>
    <w:p w14:paraId="048C1CCB" w14:textId="77777777" w:rsidR="00A3366E" w:rsidRDefault="00A3366E" w:rsidP="00A3366E">
      <w:pPr>
        <w:pStyle w:val="ListParagraph"/>
        <w:numPr>
          <w:ilvl w:val="0"/>
          <w:numId w:val="4"/>
        </w:numPr>
        <w:spacing w:after="0" w:line="240" w:lineRule="auto"/>
        <w:contextualSpacing w:val="0"/>
        <w:rPr>
          <w:rFonts w:eastAsia="Times New Roman"/>
        </w:rPr>
      </w:pPr>
      <w:r>
        <w:rPr>
          <w:rFonts w:eastAsia="Times New Roman"/>
        </w:rPr>
        <w:t>Fill in right hand column with agreed entries, if possible.</w:t>
      </w:r>
    </w:p>
    <w:p w14:paraId="0E3945FB" w14:textId="77777777" w:rsidR="00A3366E" w:rsidRDefault="00A3366E" w:rsidP="00A3366E"/>
    <w:p w14:paraId="463E646E" w14:textId="77777777" w:rsidR="00A3366E" w:rsidRDefault="00A3366E" w:rsidP="00A3366E">
      <w:r>
        <w:rPr>
          <w:b/>
          <w:bCs/>
        </w:rPr>
        <w:t>Follow-up</w:t>
      </w:r>
      <w:r>
        <w:t>:</w:t>
      </w:r>
    </w:p>
    <w:p w14:paraId="629FBD48" w14:textId="77777777" w:rsidR="00A3366E" w:rsidRDefault="00A3366E" w:rsidP="00A3366E">
      <w:pPr>
        <w:pStyle w:val="ListParagraph"/>
        <w:numPr>
          <w:ilvl w:val="0"/>
          <w:numId w:val="5"/>
        </w:numPr>
        <w:spacing w:after="0" w:line="240" w:lineRule="auto"/>
        <w:contextualSpacing w:val="0"/>
        <w:rPr>
          <w:rFonts w:eastAsia="Times New Roman"/>
        </w:rPr>
      </w:pPr>
      <w:r>
        <w:rPr>
          <w:rFonts w:eastAsia="Times New Roman"/>
        </w:rPr>
        <w:t xml:space="preserve">If agreed, present to Evaluation committee Monday.  </w:t>
      </w:r>
    </w:p>
    <w:p w14:paraId="252D4D86" w14:textId="77777777" w:rsidR="00A3366E" w:rsidRDefault="00A3366E" w:rsidP="00A3366E">
      <w:pPr>
        <w:pStyle w:val="ListParagraph"/>
        <w:numPr>
          <w:ilvl w:val="0"/>
          <w:numId w:val="5"/>
        </w:numPr>
        <w:spacing w:after="0" w:line="240" w:lineRule="auto"/>
        <w:contextualSpacing w:val="0"/>
        <w:rPr>
          <w:rFonts w:eastAsia="Times New Roman"/>
        </w:rPr>
      </w:pPr>
      <w:r>
        <w:rPr>
          <w:rFonts w:eastAsia="Times New Roman"/>
        </w:rPr>
        <w:t>If not, schedule another call, preferably before end of year.</w:t>
      </w:r>
    </w:p>
    <w:p w14:paraId="0EC1E5FA" w14:textId="0409FE01" w:rsidR="00A3366E" w:rsidRDefault="00A3366E">
      <w:pPr>
        <w:rPr>
          <w:b/>
          <w:bCs/>
          <w:sz w:val="28"/>
          <w:szCs w:val="28"/>
        </w:rPr>
      </w:pPr>
    </w:p>
    <w:p w14:paraId="63196AD4" w14:textId="77777777" w:rsidR="00A3366E" w:rsidRPr="00EE516C" w:rsidRDefault="00A3366E">
      <w:pPr>
        <w:rPr>
          <w:b/>
          <w:bCs/>
        </w:rPr>
      </w:pPr>
      <w:r w:rsidRPr="00EE516C">
        <w:rPr>
          <w:b/>
          <w:bCs/>
        </w:rPr>
        <w:t xml:space="preserve">Attendees: </w:t>
      </w:r>
    </w:p>
    <w:p w14:paraId="726E2174" w14:textId="37113BBF" w:rsidR="00A3366E" w:rsidRPr="00EE516C" w:rsidRDefault="00A3366E" w:rsidP="00EE516C">
      <w:pPr>
        <w:pStyle w:val="ListParagraph"/>
        <w:numPr>
          <w:ilvl w:val="0"/>
          <w:numId w:val="6"/>
        </w:numPr>
      </w:pPr>
      <w:r w:rsidRPr="00EE516C">
        <w:t xml:space="preserve">EA Team: Skumatz, </w:t>
      </w:r>
      <w:proofErr w:type="spellStart"/>
      <w:r w:rsidRPr="00EE516C">
        <w:t>Prahl</w:t>
      </w:r>
      <w:proofErr w:type="spellEnd"/>
      <w:r w:rsidRPr="00EE516C">
        <w:t>, Wirtshafter</w:t>
      </w:r>
    </w:p>
    <w:p w14:paraId="4CE1430F" w14:textId="6FEF6083" w:rsidR="00A3366E" w:rsidRPr="00EE516C" w:rsidRDefault="00A3366E" w:rsidP="00EE516C">
      <w:pPr>
        <w:pStyle w:val="ListParagraph"/>
        <w:numPr>
          <w:ilvl w:val="0"/>
          <w:numId w:val="6"/>
        </w:numPr>
      </w:pPr>
      <w:r w:rsidRPr="00EE516C">
        <w:t xml:space="preserve">Utilities: </w:t>
      </w:r>
      <w:r w:rsidR="00102DD6">
        <w:t>Ingram, Oswald, Riddle, Bevins</w:t>
      </w:r>
    </w:p>
    <w:p w14:paraId="1333372A" w14:textId="6456116A" w:rsidR="00A3366E" w:rsidRPr="00102DD6" w:rsidRDefault="00A3366E" w:rsidP="00EE516C">
      <w:pPr>
        <w:pStyle w:val="ListParagraph"/>
        <w:numPr>
          <w:ilvl w:val="0"/>
          <w:numId w:val="6"/>
        </w:numPr>
        <w:rPr>
          <w:sz w:val="28"/>
          <w:szCs w:val="28"/>
        </w:rPr>
      </w:pPr>
      <w:r w:rsidRPr="00EE516C">
        <w:t>Other: Reed, Technical Consultant Lead</w:t>
      </w:r>
      <w:r w:rsidRPr="00102DD6">
        <w:rPr>
          <w:sz w:val="28"/>
          <w:szCs w:val="28"/>
        </w:rPr>
        <w:br w:type="page"/>
      </w:r>
    </w:p>
    <w:p w14:paraId="05D2C1D9" w14:textId="01F012F2" w:rsidR="002B2F84" w:rsidRPr="00AC135A" w:rsidRDefault="00F867A6">
      <w:pPr>
        <w:rPr>
          <w:b/>
          <w:bCs/>
          <w:sz w:val="28"/>
          <w:szCs w:val="28"/>
        </w:rPr>
      </w:pPr>
      <w:r w:rsidRPr="00EE516C">
        <w:rPr>
          <w:b/>
          <w:bCs/>
          <w:spacing w:val="-2"/>
          <w:sz w:val="28"/>
          <w:szCs w:val="28"/>
        </w:rPr>
        <w:lastRenderedPageBreak/>
        <w:t xml:space="preserve">Discussion Table: </w:t>
      </w:r>
      <w:r w:rsidR="002B2F84" w:rsidRPr="00EE516C">
        <w:rPr>
          <w:b/>
          <w:bCs/>
          <w:spacing w:val="-2"/>
          <w:sz w:val="28"/>
          <w:szCs w:val="28"/>
        </w:rPr>
        <w:t>Utility Treatment of Evaluation Results in the PSD and C&amp;LM Planning</w:t>
      </w:r>
      <w:r w:rsidR="00B569CF" w:rsidRPr="00EE516C">
        <w:rPr>
          <w:b/>
          <w:bCs/>
          <w:spacing w:val="-2"/>
          <w:sz w:val="28"/>
          <w:szCs w:val="28"/>
        </w:rPr>
        <w:t xml:space="preserve"> (</w:t>
      </w:r>
      <w:r w:rsidR="00EE516C" w:rsidRPr="00EE516C">
        <w:rPr>
          <w:b/>
          <w:bCs/>
          <w:spacing w:val="-2"/>
          <w:sz w:val="28"/>
          <w:szCs w:val="28"/>
        </w:rPr>
        <w:t xml:space="preserve">after </w:t>
      </w:r>
      <w:r w:rsidR="00B569CF" w:rsidRPr="00EE516C">
        <w:rPr>
          <w:b/>
          <w:bCs/>
          <w:spacing w:val="-2"/>
          <w:sz w:val="28"/>
          <w:szCs w:val="28"/>
        </w:rPr>
        <w:t>12/</w:t>
      </w:r>
      <w:r w:rsidR="00EE516C" w:rsidRPr="00EE516C">
        <w:rPr>
          <w:b/>
          <w:bCs/>
          <w:spacing w:val="-2"/>
          <w:sz w:val="28"/>
          <w:szCs w:val="28"/>
        </w:rPr>
        <w:t>6</w:t>
      </w:r>
      <w:r w:rsidR="00B569CF" w:rsidRPr="00EE516C">
        <w:rPr>
          <w:b/>
          <w:bCs/>
          <w:spacing w:val="-2"/>
          <w:sz w:val="28"/>
          <w:szCs w:val="28"/>
        </w:rPr>
        <w:t>/19</w:t>
      </w:r>
      <w:r w:rsidR="00EE516C" w:rsidRPr="00EE516C">
        <w:rPr>
          <w:b/>
          <w:bCs/>
          <w:spacing w:val="-2"/>
          <w:sz w:val="28"/>
          <w:szCs w:val="28"/>
        </w:rPr>
        <w:t xml:space="preserve"> meeting</w:t>
      </w:r>
      <w:r w:rsidR="00B569CF">
        <w:rPr>
          <w:b/>
          <w:bCs/>
          <w:sz w:val="28"/>
          <w:szCs w:val="28"/>
        </w:rPr>
        <w:t>)</w:t>
      </w:r>
    </w:p>
    <w:tbl>
      <w:tblPr>
        <w:tblStyle w:val="TableGrid"/>
        <w:tblW w:w="13045" w:type="dxa"/>
        <w:tblLook w:val="04A0" w:firstRow="1" w:lastRow="0" w:firstColumn="1" w:lastColumn="0" w:noHBand="0" w:noVBand="1"/>
      </w:tblPr>
      <w:tblGrid>
        <w:gridCol w:w="1165"/>
        <w:gridCol w:w="1530"/>
        <w:gridCol w:w="1530"/>
        <w:gridCol w:w="1980"/>
        <w:gridCol w:w="2430"/>
        <w:gridCol w:w="2610"/>
        <w:gridCol w:w="1800"/>
      </w:tblGrid>
      <w:tr w:rsidR="0078096C" w:rsidRPr="00393971" w14:paraId="6B16C81E" w14:textId="6B72A3E7" w:rsidTr="00EE516C">
        <w:trPr>
          <w:tblHeader/>
        </w:trPr>
        <w:tc>
          <w:tcPr>
            <w:tcW w:w="1165" w:type="dxa"/>
            <w:shd w:val="clear" w:color="auto" w:fill="DEEAF6" w:themeFill="accent5" w:themeFillTint="33"/>
          </w:tcPr>
          <w:p w14:paraId="6ECACEED" w14:textId="53C290CA" w:rsidR="002B2F84" w:rsidRPr="00393971" w:rsidRDefault="002B2F84">
            <w:pPr>
              <w:rPr>
                <w:rFonts w:cstheme="minorHAnsi"/>
                <w:sz w:val="20"/>
                <w:szCs w:val="20"/>
              </w:rPr>
            </w:pPr>
            <w:bookmarkStart w:id="0" w:name="_Hlk26293255"/>
            <w:r w:rsidRPr="00393971">
              <w:rPr>
                <w:rFonts w:cstheme="minorHAnsi"/>
                <w:sz w:val="20"/>
                <w:szCs w:val="20"/>
              </w:rPr>
              <w:t>Topic</w:t>
            </w:r>
          </w:p>
        </w:tc>
        <w:tc>
          <w:tcPr>
            <w:tcW w:w="1530" w:type="dxa"/>
            <w:shd w:val="clear" w:color="auto" w:fill="DEEAF6" w:themeFill="accent5" w:themeFillTint="33"/>
          </w:tcPr>
          <w:p w14:paraId="75715953" w14:textId="65D0A738" w:rsidR="002B2F84" w:rsidRPr="00393971" w:rsidRDefault="002B2F84">
            <w:pPr>
              <w:rPr>
                <w:rFonts w:cstheme="minorHAnsi"/>
                <w:sz w:val="20"/>
                <w:szCs w:val="20"/>
              </w:rPr>
            </w:pPr>
            <w:r w:rsidRPr="00393971">
              <w:rPr>
                <w:rFonts w:cstheme="minorHAnsi"/>
                <w:sz w:val="20"/>
                <w:szCs w:val="20"/>
              </w:rPr>
              <w:t>A.</w:t>
            </w:r>
            <w:r w:rsidR="00422A2A">
              <w:rPr>
                <w:rFonts w:cstheme="minorHAnsi"/>
                <w:sz w:val="20"/>
                <w:szCs w:val="20"/>
              </w:rPr>
              <w:t xml:space="preserve"> </w:t>
            </w:r>
            <w:r w:rsidRPr="00393971">
              <w:rPr>
                <w:rFonts w:cstheme="minorHAnsi"/>
                <w:sz w:val="20"/>
                <w:szCs w:val="20"/>
              </w:rPr>
              <w:t xml:space="preserve">Study / EA Team </w:t>
            </w:r>
            <w:r w:rsidR="00D43F3D">
              <w:rPr>
                <w:rFonts w:cstheme="minorHAnsi"/>
                <w:sz w:val="20"/>
                <w:szCs w:val="20"/>
              </w:rPr>
              <w:t xml:space="preserve">Adjusted Gross </w:t>
            </w:r>
            <w:r w:rsidRPr="00393971">
              <w:rPr>
                <w:rFonts w:cstheme="minorHAnsi"/>
                <w:sz w:val="20"/>
                <w:szCs w:val="20"/>
              </w:rPr>
              <w:t>Value</w:t>
            </w:r>
          </w:p>
        </w:tc>
        <w:tc>
          <w:tcPr>
            <w:tcW w:w="1530" w:type="dxa"/>
            <w:shd w:val="clear" w:color="auto" w:fill="DEEAF6" w:themeFill="accent5" w:themeFillTint="33"/>
          </w:tcPr>
          <w:p w14:paraId="187CAF7A" w14:textId="60555708" w:rsidR="002B2F84" w:rsidRPr="00393971" w:rsidRDefault="002B2F84">
            <w:pPr>
              <w:rPr>
                <w:rFonts w:cstheme="minorHAnsi"/>
                <w:sz w:val="20"/>
                <w:szCs w:val="20"/>
              </w:rPr>
            </w:pPr>
            <w:r w:rsidRPr="00393971">
              <w:rPr>
                <w:rFonts w:cstheme="minorHAnsi"/>
                <w:sz w:val="20"/>
                <w:szCs w:val="20"/>
              </w:rPr>
              <w:t>B.</w:t>
            </w:r>
            <w:r w:rsidR="00422A2A">
              <w:rPr>
                <w:rFonts w:cstheme="minorHAnsi"/>
                <w:sz w:val="20"/>
                <w:szCs w:val="20"/>
              </w:rPr>
              <w:t xml:space="preserve"> </w:t>
            </w:r>
            <w:r w:rsidRPr="00393971">
              <w:rPr>
                <w:rFonts w:cstheme="minorHAnsi"/>
                <w:sz w:val="20"/>
                <w:szCs w:val="20"/>
              </w:rPr>
              <w:t xml:space="preserve">Utility </w:t>
            </w:r>
            <w:r w:rsidR="00D43F3D">
              <w:rPr>
                <w:rFonts w:cstheme="minorHAnsi"/>
                <w:sz w:val="20"/>
                <w:szCs w:val="20"/>
              </w:rPr>
              <w:t xml:space="preserve">Gross </w:t>
            </w:r>
            <w:r w:rsidRPr="00393971">
              <w:rPr>
                <w:rFonts w:cstheme="minorHAnsi"/>
                <w:sz w:val="20"/>
                <w:szCs w:val="20"/>
              </w:rPr>
              <w:t>Value</w:t>
            </w:r>
            <w:r w:rsidR="00D43F3D">
              <w:rPr>
                <w:rFonts w:cstheme="minorHAnsi"/>
                <w:sz w:val="20"/>
                <w:szCs w:val="20"/>
              </w:rPr>
              <w:t xml:space="preserve"> (2015-16)</w:t>
            </w:r>
          </w:p>
        </w:tc>
        <w:tc>
          <w:tcPr>
            <w:tcW w:w="1980" w:type="dxa"/>
            <w:shd w:val="clear" w:color="auto" w:fill="DEEAF6" w:themeFill="accent5" w:themeFillTint="33"/>
          </w:tcPr>
          <w:p w14:paraId="0264AB93" w14:textId="440CBBEA" w:rsidR="002B2F84" w:rsidRPr="00393971" w:rsidRDefault="002B2F84">
            <w:pPr>
              <w:rPr>
                <w:rFonts w:cstheme="minorHAnsi"/>
                <w:sz w:val="20"/>
                <w:szCs w:val="20"/>
              </w:rPr>
            </w:pPr>
            <w:r w:rsidRPr="00393971">
              <w:rPr>
                <w:rFonts w:cstheme="minorHAnsi"/>
                <w:sz w:val="20"/>
                <w:szCs w:val="20"/>
              </w:rPr>
              <w:t>C.EA Team Revised</w:t>
            </w:r>
            <w:r w:rsidR="00DA3ACF">
              <w:rPr>
                <w:rFonts w:cstheme="minorHAnsi"/>
                <w:sz w:val="20"/>
                <w:szCs w:val="20"/>
              </w:rPr>
              <w:t xml:space="preserve"> </w:t>
            </w:r>
          </w:p>
        </w:tc>
        <w:tc>
          <w:tcPr>
            <w:tcW w:w="2430" w:type="dxa"/>
            <w:shd w:val="clear" w:color="auto" w:fill="DEEAF6" w:themeFill="accent5" w:themeFillTint="33"/>
          </w:tcPr>
          <w:p w14:paraId="719F3DBF" w14:textId="442846E9" w:rsidR="002B2F84" w:rsidRPr="00393971" w:rsidRDefault="002B2F84">
            <w:pPr>
              <w:rPr>
                <w:rFonts w:cstheme="minorHAnsi"/>
                <w:sz w:val="20"/>
                <w:szCs w:val="20"/>
              </w:rPr>
            </w:pPr>
            <w:r w:rsidRPr="00393971">
              <w:rPr>
                <w:rFonts w:cstheme="minorHAnsi"/>
                <w:sz w:val="20"/>
                <w:szCs w:val="20"/>
              </w:rPr>
              <w:t>D.</w:t>
            </w:r>
            <w:r w:rsidR="00422A2A">
              <w:rPr>
                <w:rFonts w:cstheme="minorHAnsi"/>
                <w:sz w:val="20"/>
                <w:szCs w:val="20"/>
              </w:rPr>
              <w:t xml:space="preserve"> </w:t>
            </w:r>
            <w:r w:rsidRPr="00393971">
              <w:rPr>
                <w:rFonts w:cstheme="minorHAnsi"/>
                <w:sz w:val="20"/>
                <w:szCs w:val="20"/>
              </w:rPr>
              <w:t>Discussion</w:t>
            </w:r>
          </w:p>
        </w:tc>
        <w:tc>
          <w:tcPr>
            <w:tcW w:w="2610" w:type="dxa"/>
            <w:shd w:val="clear" w:color="auto" w:fill="DEEAF6" w:themeFill="accent5" w:themeFillTint="33"/>
          </w:tcPr>
          <w:p w14:paraId="0E322FE1" w14:textId="58352465" w:rsidR="002B2F84" w:rsidRPr="00393971" w:rsidRDefault="002B2F84">
            <w:pPr>
              <w:rPr>
                <w:rFonts w:cstheme="minorHAnsi"/>
                <w:sz w:val="20"/>
                <w:szCs w:val="20"/>
              </w:rPr>
            </w:pPr>
            <w:r w:rsidRPr="00393971">
              <w:rPr>
                <w:rFonts w:cstheme="minorHAnsi"/>
                <w:sz w:val="20"/>
                <w:szCs w:val="20"/>
              </w:rPr>
              <w:t>E.</w:t>
            </w:r>
            <w:r w:rsidR="00422A2A">
              <w:rPr>
                <w:rFonts w:cstheme="minorHAnsi"/>
                <w:sz w:val="20"/>
                <w:szCs w:val="20"/>
              </w:rPr>
              <w:t xml:space="preserve"> </w:t>
            </w:r>
            <w:r w:rsidRPr="00393971">
              <w:rPr>
                <w:rFonts w:cstheme="minorHAnsi"/>
                <w:sz w:val="20"/>
                <w:szCs w:val="20"/>
              </w:rPr>
              <w:t xml:space="preserve">Utility </w:t>
            </w:r>
            <w:r w:rsidR="00802839">
              <w:rPr>
                <w:rFonts w:cstheme="minorHAnsi"/>
                <w:sz w:val="20"/>
                <w:szCs w:val="20"/>
              </w:rPr>
              <w:t>Revised Proposal</w:t>
            </w:r>
          </w:p>
        </w:tc>
        <w:tc>
          <w:tcPr>
            <w:tcW w:w="1800" w:type="dxa"/>
            <w:shd w:val="clear" w:color="auto" w:fill="DEEAF6" w:themeFill="accent5" w:themeFillTint="33"/>
          </w:tcPr>
          <w:p w14:paraId="2806D067" w14:textId="09C22909" w:rsidR="002B2F84" w:rsidRPr="00393971" w:rsidRDefault="002B2F84">
            <w:pPr>
              <w:rPr>
                <w:rFonts w:cstheme="minorHAnsi"/>
                <w:sz w:val="20"/>
                <w:szCs w:val="20"/>
              </w:rPr>
            </w:pPr>
            <w:r w:rsidRPr="00393971">
              <w:rPr>
                <w:rFonts w:cstheme="minorHAnsi"/>
                <w:sz w:val="20"/>
                <w:szCs w:val="20"/>
              </w:rPr>
              <w:t>F.</w:t>
            </w:r>
            <w:r w:rsidR="00422A2A">
              <w:rPr>
                <w:rFonts w:cstheme="minorHAnsi"/>
                <w:sz w:val="20"/>
                <w:szCs w:val="20"/>
              </w:rPr>
              <w:t xml:space="preserve"> </w:t>
            </w:r>
            <w:r w:rsidRPr="00393971">
              <w:rPr>
                <w:rFonts w:cstheme="minorHAnsi"/>
                <w:sz w:val="20"/>
                <w:szCs w:val="20"/>
              </w:rPr>
              <w:t>Resolution</w:t>
            </w:r>
          </w:p>
        </w:tc>
      </w:tr>
      <w:bookmarkEnd w:id="0"/>
      <w:tr w:rsidR="002342C2" w:rsidRPr="00393971" w14:paraId="6F4B23BA" w14:textId="2875C015" w:rsidTr="00EE516C">
        <w:tc>
          <w:tcPr>
            <w:tcW w:w="1165" w:type="dxa"/>
            <w:shd w:val="clear" w:color="auto" w:fill="DEEAF6" w:themeFill="accent5" w:themeFillTint="33"/>
            <w:vAlign w:val="center"/>
          </w:tcPr>
          <w:p w14:paraId="64081D10" w14:textId="1B09C8F8" w:rsidR="00793FF0" w:rsidRPr="00393971" w:rsidRDefault="00793FF0" w:rsidP="00793FF0">
            <w:pPr>
              <w:rPr>
                <w:rFonts w:cstheme="minorHAnsi"/>
                <w:sz w:val="20"/>
                <w:szCs w:val="20"/>
              </w:rPr>
            </w:pPr>
            <w:r w:rsidRPr="00393971">
              <w:rPr>
                <w:rFonts w:cstheme="minorHAnsi"/>
                <w:sz w:val="20"/>
                <w:szCs w:val="20"/>
              </w:rPr>
              <w:t>1.Lighting HES</w:t>
            </w:r>
          </w:p>
        </w:tc>
        <w:tc>
          <w:tcPr>
            <w:tcW w:w="1530" w:type="dxa"/>
          </w:tcPr>
          <w:p w14:paraId="179A81D4" w14:textId="5FE4734E" w:rsidR="00793FF0" w:rsidRDefault="00793FF0" w:rsidP="00793FF0">
            <w:pPr>
              <w:rPr>
                <w:rFonts w:cstheme="minorHAnsi"/>
                <w:sz w:val="20"/>
                <w:szCs w:val="20"/>
              </w:rPr>
            </w:pPr>
            <w:r w:rsidRPr="00393971">
              <w:rPr>
                <w:rFonts w:cstheme="minorHAnsi"/>
                <w:sz w:val="20"/>
                <w:szCs w:val="20"/>
              </w:rPr>
              <w:t>418 kWh savings</w:t>
            </w:r>
            <w:r w:rsidR="00DA3ACF">
              <w:rPr>
                <w:rFonts w:cstheme="minorHAnsi"/>
                <w:sz w:val="20"/>
                <w:szCs w:val="20"/>
              </w:rPr>
              <w:t>;</w:t>
            </w:r>
          </w:p>
          <w:p w14:paraId="474A2E13" w14:textId="18766721" w:rsidR="00DA3ACF" w:rsidRDefault="00DA3ACF" w:rsidP="00793FF0">
            <w:pPr>
              <w:rPr>
                <w:rFonts w:cstheme="minorHAnsi"/>
                <w:sz w:val="20"/>
                <w:szCs w:val="20"/>
              </w:rPr>
            </w:pPr>
            <w:r>
              <w:rPr>
                <w:rFonts w:cstheme="minorHAnsi"/>
                <w:sz w:val="20"/>
                <w:szCs w:val="20"/>
              </w:rPr>
              <w:t>Implied RR=4</w:t>
            </w:r>
            <w:r w:rsidR="00DC2E8B">
              <w:rPr>
                <w:rFonts w:cstheme="minorHAnsi"/>
                <w:sz w:val="20"/>
                <w:szCs w:val="20"/>
              </w:rPr>
              <w:t>7</w:t>
            </w:r>
            <w:r>
              <w:rPr>
                <w:rFonts w:cstheme="minorHAnsi"/>
                <w:sz w:val="20"/>
                <w:szCs w:val="20"/>
              </w:rPr>
              <w:t>%</w:t>
            </w:r>
          </w:p>
          <w:p w14:paraId="6D4D2CD0" w14:textId="77777777" w:rsidR="00DA3ACF" w:rsidRDefault="00DA3ACF" w:rsidP="00793FF0">
            <w:pPr>
              <w:rPr>
                <w:rFonts w:cstheme="minorHAnsi"/>
                <w:sz w:val="20"/>
                <w:szCs w:val="20"/>
              </w:rPr>
            </w:pPr>
          </w:p>
          <w:p w14:paraId="264FCA74" w14:textId="69BB5D63" w:rsidR="00DA3ACF" w:rsidRPr="00393971" w:rsidRDefault="00DA3ACF" w:rsidP="00793FF0">
            <w:pPr>
              <w:rPr>
                <w:rFonts w:cstheme="minorHAnsi"/>
                <w:sz w:val="20"/>
                <w:szCs w:val="20"/>
              </w:rPr>
            </w:pPr>
          </w:p>
        </w:tc>
        <w:tc>
          <w:tcPr>
            <w:tcW w:w="1530" w:type="dxa"/>
          </w:tcPr>
          <w:p w14:paraId="5E167D3C" w14:textId="115F0C45" w:rsidR="00793FF0" w:rsidRPr="00393971" w:rsidRDefault="00DC2E8B" w:rsidP="00793FF0">
            <w:pPr>
              <w:rPr>
                <w:rFonts w:cstheme="minorHAnsi"/>
                <w:sz w:val="20"/>
                <w:szCs w:val="20"/>
              </w:rPr>
            </w:pPr>
            <w:r>
              <w:rPr>
                <w:rFonts w:cstheme="minorHAnsi"/>
                <w:sz w:val="20"/>
                <w:szCs w:val="20"/>
              </w:rPr>
              <w:t>891</w:t>
            </w:r>
            <w:r w:rsidR="00793FF0">
              <w:rPr>
                <w:rFonts w:cstheme="minorHAnsi"/>
                <w:sz w:val="20"/>
                <w:szCs w:val="20"/>
              </w:rPr>
              <w:t xml:space="preserve"> kWh </w:t>
            </w:r>
            <w:r w:rsidR="00793FF0">
              <w:rPr>
                <w:rStyle w:val="FootnoteReference"/>
                <w:rFonts w:cstheme="minorHAnsi"/>
                <w:sz w:val="20"/>
                <w:szCs w:val="20"/>
              </w:rPr>
              <w:footnoteReference w:id="1"/>
            </w:r>
          </w:p>
        </w:tc>
        <w:tc>
          <w:tcPr>
            <w:tcW w:w="1980" w:type="dxa"/>
          </w:tcPr>
          <w:p w14:paraId="1FCF5060" w14:textId="25022B6F" w:rsidR="00793FF0" w:rsidRPr="00393971" w:rsidRDefault="00793FF0" w:rsidP="00793FF0">
            <w:pPr>
              <w:rPr>
                <w:rFonts w:cstheme="minorHAnsi"/>
                <w:sz w:val="20"/>
                <w:szCs w:val="20"/>
              </w:rPr>
            </w:pPr>
            <w:r w:rsidRPr="00BF6F10">
              <w:rPr>
                <w:rFonts w:cstheme="minorHAnsi"/>
                <w:sz w:val="20"/>
                <w:szCs w:val="20"/>
              </w:rPr>
              <w:t>418 kWh savings</w:t>
            </w:r>
            <w:r w:rsidR="00677804">
              <w:rPr>
                <w:rFonts w:cstheme="minorHAnsi"/>
                <w:sz w:val="20"/>
                <w:szCs w:val="20"/>
              </w:rPr>
              <w:t>; Calculated RR consistent with savings assum</w:t>
            </w:r>
            <w:r w:rsidR="00102DD6">
              <w:rPr>
                <w:rFonts w:cstheme="minorHAnsi"/>
                <w:sz w:val="20"/>
                <w:szCs w:val="20"/>
              </w:rPr>
              <w:t>ption</w:t>
            </w:r>
            <w:r w:rsidR="00677804">
              <w:rPr>
                <w:rFonts w:cstheme="minorHAnsi"/>
                <w:sz w:val="20"/>
                <w:szCs w:val="20"/>
              </w:rPr>
              <w:t>.</w:t>
            </w:r>
          </w:p>
        </w:tc>
        <w:tc>
          <w:tcPr>
            <w:tcW w:w="2430" w:type="dxa"/>
          </w:tcPr>
          <w:p w14:paraId="6EB5A891" w14:textId="7BE36C78" w:rsidR="00793FF0" w:rsidRPr="00184D9B" w:rsidRDefault="00102DD6" w:rsidP="00793FF0">
            <w:pPr>
              <w:rPr>
                <w:rFonts w:cstheme="minorHAnsi"/>
                <w:sz w:val="20"/>
                <w:szCs w:val="20"/>
              </w:rPr>
            </w:pPr>
            <w:r>
              <w:rPr>
                <w:rFonts w:cstheme="minorHAnsi"/>
                <w:sz w:val="20"/>
                <w:szCs w:val="20"/>
              </w:rPr>
              <w:t xml:space="preserve">2020 Plan adopts these </w:t>
            </w:r>
            <w:proofErr w:type="gramStart"/>
            <w:r>
              <w:rPr>
                <w:rFonts w:cstheme="minorHAnsi"/>
                <w:sz w:val="20"/>
                <w:szCs w:val="20"/>
              </w:rPr>
              <w:t>values.</w:t>
            </w:r>
            <w:r w:rsidR="00BC2F41" w:rsidRPr="00184D9B">
              <w:rPr>
                <w:rFonts w:cstheme="minorHAnsi"/>
                <w:sz w:val="20"/>
                <w:szCs w:val="20"/>
              </w:rPr>
              <w:t>.</w:t>
            </w:r>
            <w:proofErr w:type="gramEnd"/>
          </w:p>
        </w:tc>
        <w:tc>
          <w:tcPr>
            <w:tcW w:w="2610" w:type="dxa"/>
          </w:tcPr>
          <w:p w14:paraId="21191F3A" w14:textId="60D5678B" w:rsidR="00793FF0" w:rsidRPr="00393971" w:rsidRDefault="002E0901" w:rsidP="00793FF0">
            <w:pPr>
              <w:rPr>
                <w:rFonts w:cstheme="minorHAnsi"/>
                <w:sz w:val="20"/>
                <w:szCs w:val="20"/>
              </w:rPr>
            </w:pPr>
            <w:r>
              <w:rPr>
                <w:rFonts w:cstheme="minorHAnsi"/>
                <w:sz w:val="20"/>
                <w:szCs w:val="20"/>
              </w:rPr>
              <w:t xml:space="preserve">As filed in our 2020 </w:t>
            </w:r>
            <w:r w:rsidR="00B73C90">
              <w:rPr>
                <w:rFonts w:cstheme="minorHAnsi"/>
                <w:sz w:val="20"/>
                <w:szCs w:val="20"/>
              </w:rPr>
              <w:t>PSD</w:t>
            </w:r>
            <w:r>
              <w:rPr>
                <w:rFonts w:cstheme="minorHAnsi"/>
                <w:sz w:val="20"/>
                <w:szCs w:val="20"/>
              </w:rPr>
              <w:t>, we agreed</w:t>
            </w:r>
            <w:r w:rsidR="00357237">
              <w:rPr>
                <w:rFonts w:cstheme="minorHAnsi"/>
                <w:sz w:val="20"/>
                <w:szCs w:val="20"/>
              </w:rPr>
              <w:t xml:space="preserve"> to West Hill’s original results of 47%.</w:t>
            </w:r>
          </w:p>
        </w:tc>
        <w:tc>
          <w:tcPr>
            <w:tcW w:w="1800" w:type="dxa"/>
          </w:tcPr>
          <w:p w14:paraId="4856B61A" w14:textId="37B18609" w:rsidR="00793FF0" w:rsidRPr="00393971" w:rsidRDefault="00102DD6" w:rsidP="00793FF0">
            <w:pPr>
              <w:rPr>
                <w:rFonts w:cstheme="minorHAnsi"/>
                <w:sz w:val="20"/>
                <w:szCs w:val="20"/>
              </w:rPr>
            </w:pPr>
            <w:r>
              <w:rPr>
                <w:rFonts w:cstheme="minorHAnsi"/>
                <w:sz w:val="20"/>
                <w:szCs w:val="20"/>
              </w:rPr>
              <w:t>Resolved: Utilit</w:t>
            </w:r>
            <w:r w:rsidR="00063DC0">
              <w:rPr>
                <w:rFonts w:cstheme="minorHAnsi"/>
                <w:sz w:val="20"/>
                <w:szCs w:val="20"/>
              </w:rPr>
              <w:t>i</w:t>
            </w:r>
            <w:r>
              <w:rPr>
                <w:rFonts w:cstheme="minorHAnsi"/>
                <w:sz w:val="20"/>
                <w:szCs w:val="20"/>
              </w:rPr>
              <w:t>es agreed to adopt 47% in the 2020 Plan.</w:t>
            </w:r>
            <w:r w:rsidR="00B9557F">
              <w:rPr>
                <w:rFonts w:cstheme="minorHAnsi"/>
                <w:sz w:val="20"/>
                <w:szCs w:val="20"/>
              </w:rPr>
              <w:t xml:space="preserve">  Agree with plan to use 2019 actual savings throughout to reduce estimation.</w:t>
            </w:r>
          </w:p>
        </w:tc>
      </w:tr>
      <w:tr w:rsidR="002342C2" w:rsidRPr="00393971" w14:paraId="1E9B788C" w14:textId="4194E06E" w:rsidTr="00EE516C">
        <w:tc>
          <w:tcPr>
            <w:tcW w:w="1165" w:type="dxa"/>
            <w:shd w:val="clear" w:color="auto" w:fill="DEEAF6" w:themeFill="accent5" w:themeFillTint="33"/>
          </w:tcPr>
          <w:p w14:paraId="30A680E5" w14:textId="0DA21073" w:rsidR="00793FF0" w:rsidRPr="00393971" w:rsidRDefault="0078096C" w:rsidP="00793FF0">
            <w:pPr>
              <w:rPr>
                <w:rFonts w:cstheme="minorHAnsi"/>
                <w:sz w:val="20"/>
                <w:szCs w:val="20"/>
              </w:rPr>
            </w:pPr>
            <w:r>
              <w:rPr>
                <w:rFonts w:cstheme="minorHAnsi"/>
                <w:sz w:val="20"/>
                <w:szCs w:val="20"/>
              </w:rPr>
              <w:t>2</w:t>
            </w:r>
            <w:r w:rsidR="00793FF0" w:rsidRPr="00393971">
              <w:rPr>
                <w:rFonts w:cstheme="minorHAnsi"/>
                <w:sz w:val="20"/>
                <w:szCs w:val="20"/>
              </w:rPr>
              <w:t>. Lighting HES-IE</w:t>
            </w:r>
          </w:p>
        </w:tc>
        <w:tc>
          <w:tcPr>
            <w:tcW w:w="1530" w:type="dxa"/>
          </w:tcPr>
          <w:p w14:paraId="097A32AF" w14:textId="5EC54296" w:rsidR="00793FF0" w:rsidRDefault="00793FF0" w:rsidP="00793FF0">
            <w:pPr>
              <w:rPr>
                <w:rFonts w:cstheme="minorHAnsi"/>
                <w:sz w:val="20"/>
                <w:szCs w:val="20"/>
              </w:rPr>
            </w:pPr>
            <w:r>
              <w:rPr>
                <w:rFonts w:cstheme="minorHAnsi"/>
                <w:sz w:val="20"/>
                <w:szCs w:val="20"/>
              </w:rPr>
              <w:t>2</w:t>
            </w:r>
            <w:r w:rsidR="00EF27ED">
              <w:rPr>
                <w:rFonts w:cstheme="minorHAnsi"/>
                <w:sz w:val="20"/>
                <w:szCs w:val="20"/>
              </w:rPr>
              <w:t>6</w:t>
            </w:r>
            <w:r>
              <w:rPr>
                <w:rFonts w:cstheme="minorHAnsi"/>
                <w:sz w:val="20"/>
                <w:szCs w:val="20"/>
              </w:rPr>
              <w:t>2 kWh Savings</w:t>
            </w:r>
            <w:r w:rsidR="00DA3ACF">
              <w:rPr>
                <w:rFonts w:cstheme="minorHAnsi"/>
                <w:sz w:val="20"/>
                <w:szCs w:val="20"/>
              </w:rPr>
              <w:t>;</w:t>
            </w:r>
          </w:p>
          <w:p w14:paraId="3F658F26" w14:textId="50984C3C" w:rsidR="00DA3ACF" w:rsidRDefault="00DA3ACF" w:rsidP="00793FF0">
            <w:pPr>
              <w:rPr>
                <w:rFonts w:cstheme="minorHAnsi"/>
                <w:sz w:val="20"/>
                <w:szCs w:val="20"/>
              </w:rPr>
            </w:pPr>
            <w:r>
              <w:rPr>
                <w:rFonts w:cstheme="minorHAnsi"/>
                <w:sz w:val="20"/>
                <w:szCs w:val="20"/>
              </w:rPr>
              <w:t>Implied RR=2</w:t>
            </w:r>
            <w:r w:rsidR="00EF27ED">
              <w:rPr>
                <w:rFonts w:cstheme="minorHAnsi"/>
                <w:sz w:val="20"/>
                <w:szCs w:val="20"/>
              </w:rPr>
              <w:t>8</w:t>
            </w:r>
            <w:r>
              <w:rPr>
                <w:rFonts w:cstheme="minorHAnsi"/>
                <w:sz w:val="20"/>
                <w:szCs w:val="20"/>
              </w:rPr>
              <w:t>%</w:t>
            </w:r>
          </w:p>
          <w:p w14:paraId="7EABA170" w14:textId="4045AE09" w:rsidR="00DA3ACF" w:rsidRPr="00393971" w:rsidRDefault="00DA3ACF" w:rsidP="00793FF0">
            <w:pPr>
              <w:rPr>
                <w:rFonts w:cstheme="minorHAnsi"/>
                <w:sz w:val="20"/>
                <w:szCs w:val="20"/>
              </w:rPr>
            </w:pPr>
          </w:p>
        </w:tc>
        <w:tc>
          <w:tcPr>
            <w:tcW w:w="1530" w:type="dxa"/>
          </w:tcPr>
          <w:p w14:paraId="195D3422" w14:textId="218B2ED9" w:rsidR="00793FF0" w:rsidRPr="00393971" w:rsidRDefault="00793FF0" w:rsidP="00793FF0">
            <w:pPr>
              <w:rPr>
                <w:rFonts w:cstheme="minorHAnsi"/>
                <w:sz w:val="20"/>
                <w:szCs w:val="20"/>
              </w:rPr>
            </w:pPr>
            <w:r>
              <w:rPr>
                <w:rFonts w:cstheme="minorHAnsi"/>
                <w:sz w:val="20"/>
                <w:szCs w:val="20"/>
              </w:rPr>
              <w:t>927 kWh</w:t>
            </w:r>
            <w:r w:rsidR="00D13F3F" w:rsidRPr="00393971">
              <w:rPr>
                <w:rFonts w:cstheme="minorHAnsi"/>
                <w:sz w:val="20"/>
                <w:szCs w:val="20"/>
                <w:vertAlign w:val="superscript"/>
              </w:rPr>
              <w:t>1</w:t>
            </w:r>
          </w:p>
        </w:tc>
        <w:tc>
          <w:tcPr>
            <w:tcW w:w="1980" w:type="dxa"/>
          </w:tcPr>
          <w:p w14:paraId="27A5CC4D" w14:textId="160F65A9" w:rsidR="00793FF0" w:rsidRPr="00393971" w:rsidRDefault="00793FF0" w:rsidP="00793FF0">
            <w:pPr>
              <w:rPr>
                <w:rFonts w:cstheme="minorHAnsi"/>
                <w:sz w:val="20"/>
                <w:szCs w:val="20"/>
              </w:rPr>
            </w:pPr>
            <w:r>
              <w:rPr>
                <w:rFonts w:cstheme="minorHAnsi"/>
                <w:sz w:val="20"/>
                <w:szCs w:val="20"/>
              </w:rPr>
              <w:t>2</w:t>
            </w:r>
            <w:r w:rsidR="00EF27ED">
              <w:rPr>
                <w:rFonts w:cstheme="minorHAnsi"/>
                <w:sz w:val="20"/>
                <w:szCs w:val="20"/>
              </w:rPr>
              <w:t>6</w:t>
            </w:r>
            <w:r>
              <w:rPr>
                <w:rFonts w:cstheme="minorHAnsi"/>
                <w:sz w:val="20"/>
                <w:szCs w:val="20"/>
              </w:rPr>
              <w:t>2 kWh Savings</w:t>
            </w:r>
            <w:r w:rsidR="00677804">
              <w:rPr>
                <w:rFonts w:cstheme="minorHAnsi"/>
                <w:sz w:val="20"/>
                <w:szCs w:val="20"/>
              </w:rPr>
              <w:t>.  Calculated RR consistent with savings assum</w:t>
            </w:r>
            <w:r w:rsidR="00102DD6">
              <w:rPr>
                <w:rFonts w:cstheme="minorHAnsi"/>
                <w:sz w:val="20"/>
                <w:szCs w:val="20"/>
              </w:rPr>
              <w:t>ption</w:t>
            </w:r>
            <w:r w:rsidR="00677804">
              <w:rPr>
                <w:rFonts w:cstheme="minorHAnsi"/>
                <w:sz w:val="20"/>
                <w:szCs w:val="20"/>
              </w:rPr>
              <w:t>.</w:t>
            </w:r>
          </w:p>
        </w:tc>
        <w:tc>
          <w:tcPr>
            <w:tcW w:w="2430" w:type="dxa"/>
          </w:tcPr>
          <w:p w14:paraId="7EC0B2B0" w14:textId="67BBC6A1" w:rsidR="00793FF0" w:rsidRPr="00184D9B" w:rsidRDefault="00DA3ACF" w:rsidP="00793FF0">
            <w:pPr>
              <w:rPr>
                <w:rFonts w:cstheme="minorHAnsi"/>
                <w:sz w:val="20"/>
                <w:szCs w:val="20"/>
              </w:rPr>
            </w:pPr>
            <w:r w:rsidRPr="00422A2A">
              <w:rPr>
                <w:rFonts w:cstheme="minorHAnsi"/>
                <w:sz w:val="20"/>
                <w:szCs w:val="20"/>
              </w:rPr>
              <w:t>2020 Plan suggests 747</w:t>
            </w:r>
            <w:r w:rsidR="002E0901">
              <w:rPr>
                <w:rFonts w:cstheme="minorHAnsi"/>
                <w:sz w:val="20"/>
                <w:szCs w:val="20"/>
              </w:rPr>
              <w:t xml:space="preserve"> </w:t>
            </w:r>
            <w:r w:rsidR="002E0901" w:rsidRPr="00EE516C">
              <w:rPr>
                <w:rFonts w:cstheme="minorHAnsi"/>
                <w:bCs/>
                <w:sz w:val="20"/>
                <w:szCs w:val="20"/>
              </w:rPr>
              <w:t>gross</w:t>
            </w:r>
            <w:r w:rsidRPr="00102DD6">
              <w:rPr>
                <w:rFonts w:cstheme="minorHAnsi"/>
                <w:bCs/>
                <w:sz w:val="20"/>
                <w:szCs w:val="20"/>
              </w:rPr>
              <w:t xml:space="preserve"> kWh savings /hom</w:t>
            </w:r>
            <w:r w:rsidRPr="00422A2A">
              <w:rPr>
                <w:rFonts w:cstheme="minorHAnsi"/>
                <w:sz w:val="20"/>
                <w:szCs w:val="20"/>
              </w:rPr>
              <w:t>e</w:t>
            </w:r>
            <w:r w:rsidR="00EF27ED">
              <w:rPr>
                <w:rFonts w:cstheme="minorHAnsi"/>
                <w:sz w:val="20"/>
                <w:szCs w:val="20"/>
              </w:rPr>
              <w:t xml:space="preserve"> in 2019 YTD</w:t>
            </w:r>
            <w:r w:rsidRPr="00422A2A">
              <w:rPr>
                <w:rFonts w:cstheme="minorHAnsi"/>
                <w:sz w:val="20"/>
                <w:szCs w:val="20"/>
              </w:rPr>
              <w:t xml:space="preserve">.  </w:t>
            </w:r>
            <w:r w:rsidR="00802839" w:rsidRPr="00422A2A">
              <w:rPr>
                <w:rFonts w:cstheme="minorHAnsi"/>
                <w:sz w:val="20"/>
                <w:szCs w:val="20"/>
              </w:rPr>
              <w:t>Suggest lower delta watts and lower hours of use for number closer to 2</w:t>
            </w:r>
            <w:r w:rsidR="00EF27ED">
              <w:rPr>
                <w:rFonts w:cstheme="minorHAnsi"/>
                <w:sz w:val="20"/>
                <w:szCs w:val="20"/>
              </w:rPr>
              <w:t>6</w:t>
            </w:r>
            <w:r w:rsidR="00802839" w:rsidRPr="00422A2A">
              <w:rPr>
                <w:rFonts w:cstheme="minorHAnsi"/>
                <w:sz w:val="20"/>
                <w:szCs w:val="20"/>
              </w:rPr>
              <w:t>2 kWh</w:t>
            </w:r>
            <w:r w:rsidR="00BC2F41" w:rsidRPr="00184D9B">
              <w:rPr>
                <w:rFonts w:cstheme="minorHAnsi"/>
                <w:sz w:val="20"/>
                <w:szCs w:val="20"/>
              </w:rPr>
              <w:t>. RR calculation depends on 2020 savings assumed by Utilities.</w:t>
            </w:r>
            <w:r w:rsidR="0014106E">
              <w:rPr>
                <w:rFonts w:cstheme="minorHAnsi"/>
                <w:sz w:val="20"/>
                <w:szCs w:val="20"/>
              </w:rPr>
              <w:t xml:space="preserve">  (Utilities please provide)</w:t>
            </w:r>
          </w:p>
        </w:tc>
        <w:tc>
          <w:tcPr>
            <w:tcW w:w="2610" w:type="dxa"/>
          </w:tcPr>
          <w:p w14:paraId="49A7A52D" w14:textId="77777777" w:rsidR="00102DD6" w:rsidRDefault="00102DD6" w:rsidP="008E2993">
            <w:pPr>
              <w:rPr>
                <w:rFonts w:cstheme="minorHAnsi"/>
                <w:sz w:val="20"/>
                <w:szCs w:val="20"/>
              </w:rPr>
            </w:pPr>
            <w:r>
              <w:rPr>
                <w:rFonts w:cstheme="minorHAnsi"/>
                <w:sz w:val="20"/>
                <w:szCs w:val="20"/>
              </w:rPr>
              <w:t>Utilities conducting work to identify specific values, to be based on 2019 gross savings.</w:t>
            </w:r>
          </w:p>
          <w:p w14:paraId="112AA5F8" w14:textId="77777777" w:rsidR="00102DD6" w:rsidRDefault="00102DD6" w:rsidP="008E2993">
            <w:pPr>
              <w:rPr>
                <w:rFonts w:cstheme="minorHAnsi"/>
                <w:sz w:val="20"/>
                <w:szCs w:val="20"/>
              </w:rPr>
            </w:pPr>
          </w:p>
          <w:p w14:paraId="13A0D0CD" w14:textId="29BFFE35" w:rsidR="008E2993" w:rsidRDefault="004471A5" w:rsidP="008E2993">
            <w:pPr>
              <w:rPr>
                <w:sz w:val="20"/>
                <w:szCs w:val="20"/>
              </w:rPr>
            </w:pPr>
            <w:r>
              <w:rPr>
                <w:rFonts w:cstheme="minorHAnsi"/>
                <w:sz w:val="20"/>
                <w:szCs w:val="20"/>
              </w:rPr>
              <w:t xml:space="preserve">2019 </w:t>
            </w:r>
            <w:r w:rsidR="008E2993">
              <w:rPr>
                <w:rFonts w:cstheme="minorHAnsi"/>
                <w:sz w:val="20"/>
                <w:szCs w:val="20"/>
              </w:rPr>
              <w:t>gross savings per home</w:t>
            </w:r>
            <w:r w:rsidR="001964F8">
              <w:rPr>
                <w:rFonts w:cstheme="minorHAnsi"/>
                <w:sz w:val="20"/>
                <w:szCs w:val="20"/>
              </w:rPr>
              <w:t xml:space="preserve"> were</w:t>
            </w:r>
            <w:r w:rsidR="00102DD6">
              <w:rPr>
                <w:rFonts w:cstheme="minorHAnsi"/>
                <w:sz w:val="20"/>
                <w:szCs w:val="20"/>
              </w:rPr>
              <w:t xml:space="preserve"> XXX</w:t>
            </w:r>
            <w:r w:rsidR="008E2993">
              <w:rPr>
                <w:sz w:val="20"/>
                <w:szCs w:val="20"/>
              </w:rPr>
              <w:t xml:space="preserve"> </w:t>
            </w:r>
          </w:p>
          <w:p w14:paraId="47FF7BAB" w14:textId="0F04C2E7" w:rsidR="008E2993" w:rsidRPr="00393971" w:rsidRDefault="008E2993" w:rsidP="008E2993">
            <w:pPr>
              <w:rPr>
                <w:rFonts w:cstheme="minorHAnsi"/>
                <w:sz w:val="20"/>
                <w:szCs w:val="20"/>
              </w:rPr>
            </w:pPr>
            <w:r>
              <w:rPr>
                <w:sz w:val="20"/>
                <w:szCs w:val="20"/>
              </w:rPr>
              <w:t>To get 262 kWh, implies a RR o</w:t>
            </w:r>
            <w:r w:rsidR="00102DD6">
              <w:rPr>
                <w:sz w:val="20"/>
                <w:szCs w:val="20"/>
              </w:rPr>
              <w:t>f XXX.</w:t>
            </w:r>
          </w:p>
        </w:tc>
        <w:tc>
          <w:tcPr>
            <w:tcW w:w="1800" w:type="dxa"/>
          </w:tcPr>
          <w:p w14:paraId="0772C5C3" w14:textId="2DCE4049" w:rsidR="00793FF0" w:rsidRPr="00393971" w:rsidRDefault="00102DD6" w:rsidP="00793FF0">
            <w:pPr>
              <w:rPr>
                <w:rFonts w:cstheme="minorHAnsi"/>
                <w:sz w:val="20"/>
                <w:szCs w:val="20"/>
              </w:rPr>
            </w:pPr>
            <w:r>
              <w:rPr>
                <w:rFonts w:cstheme="minorHAnsi"/>
                <w:sz w:val="20"/>
                <w:szCs w:val="20"/>
              </w:rPr>
              <w:t>Appears to be resolution in principle / approach.  Utilities will review whether numbers between utilities differ; if not, statewide approach may be OK; otherwise should do utility-specific</w:t>
            </w:r>
          </w:p>
        </w:tc>
      </w:tr>
      <w:tr w:rsidR="002342C2" w:rsidRPr="00393971" w14:paraId="5CD6E6FD" w14:textId="5B7C7ADC" w:rsidTr="00EE516C">
        <w:tc>
          <w:tcPr>
            <w:tcW w:w="1165" w:type="dxa"/>
            <w:shd w:val="clear" w:color="auto" w:fill="DEEAF6" w:themeFill="accent5" w:themeFillTint="33"/>
          </w:tcPr>
          <w:p w14:paraId="4ABC12C1" w14:textId="3333B31E" w:rsidR="00793FF0" w:rsidRPr="00393971" w:rsidRDefault="0078096C" w:rsidP="00793FF0">
            <w:pPr>
              <w:rPr>
                <w:rFonts w:cstheme="minorHAnsi"/>
                <w:sz w:val="20"/>
                <w:szCs w:val="20"/>
              </w:rPr>
            </w:pPr>
            <w:r>
              <w:rPr>
                <w:rFonts w:cstheme="minorHAnsi"/>
                <w:sz w:val="20"/>
                <w:szCs w:val="20"/>
              </w:rPr>
              <w:t>3</w:t>
            </w:r>
            <w:r w:rsidR="00793FF0" w:rsidRPr="00393971">
              <w:rPr>
                <w:rFonts w:cstheme="minorHAnsi"/>
                <w:sz w:val="20"/>
                <w:szCs w:val="20"/>
              </w:rPr>
              <w:t>. Duct Sealing</w:t>
            </w:r>
          </w:p>
        </w:tc>
        <w:tc>
          <w:tcPr>
            <w:tcW w:w="1530" w:type="dxa"/>
          </w:tcPr>
          <w:p w14:paraId="2C284FE1" w14:textId="1B6C46D4" w:rsidR="00793FF0" w:rsidRPr="00393971" w:rsidRDefault="00DA3ACF" w:rsidP="00793FF0">
            <w:pPr>
              <w:rPr>
                <w:rFonts w:cstheme="minorHAnsi"/>
                <w:sz w:val="20"/>
                <w:szCs w:val="20"/>
              </w:rPr>
            </w:pPr>
            <w:r>
              <w:rPr>
                <w:rFonts w:cstheme="minorHAnsi"/>
                <w:sz w:val="20"/>
                <w:szCs w:val="20"/>
              </w:rPr>
              <w:t>Only combination measure value available</w:t>
            </w:r>
          </w:p>
        </w:tc>
        <w:tc>
          <w:tcPr>
            <w:tcW w:w="1530" w:type="dxa"/>
          </w:tcPr>
          <w:p w14:paraId="218D3572" w14:textId="0E695AD1" w:rsidR="00793FF0" w:rsidRPr="00393971" w:rsidRDefault="00705919" w:rsidP="00793FF0">
            <w:pPr>
              <w:rPr>
                <w:rFonts w:cstheme="minorHAnsi"/>
                <w:sz w:val="20"/>
                <w:szCs w:val="20"/>
              </w:rPr>
            </w:pPr>
            <w:r>
              <w:rPr>
                <w:rFonts w:cstheme="minorHAnsi"/>
                <w:sz w:val="20"/>
                <w:szCs w:val="20"/>
              </w:rPr>
              <w:t>RR=92.5%</w:t>
            </w:r>
          </w:p>
        </w:tc>
        <w:tc>
          <w:tcPr>
            <w:tcW w:w="1980" w:type="dxa"/>
          </w:tcPr>
          <w:p w14:paraId="41480D90" w14:textId="046376DD" w:rsidR="00793FF0" w:rsidRPr="00393971" w:rsidRDefault="00705919" w:rsidP="00793FF0">
            <w:pPr>
              <w:rPr>
                <w:rFonts w:cstheme="minorHAnsi"/>
                <w:sz w:val="20"/>
                <w:szCs w:val="20"/>
              </w:rPr>
            </w:pPr>
            <w:r>
              <w:rPr>
                <w:rFonts w:cstheme="minorHAnsi"/>
                <w:sz w:val="20"/>
                <w:szCs w:val="20"/>
              </w:rPr>
              <w:t>Agree with Utility Treatment</w:t>
            </w:r>
          </w:p>
        </w:tc>
        <w:tc>
          <w:tcPr>
            <w:tcW w:w="2430" w:type="dxa"/>
          </w:tcPr>
          <w:p w14:paraId="043D1B2B" w14:textId="1FBF4314" w:rsidR="00793FF0" w:rsidRPr="00393971" w:rsidRDefault="00DA3ACF" w:rsidP="00793FF0">
            <w:pPr>
              <w:rPr>
                <w:rFonts w:cstheme="minorHAnsi"/>
                <w:sz w:val="20"/>
                <w:szCs w:val="20"/>
              </w:rPr>
            </w:pPr>
            <w:r>
              <w:rPr>
                <w:rFonts w:cstheme="minorHAnsi"/>
                <w:sz w:val="20"/>
                <w:szCs w:val="20"/>
              </w:rPr>
              <w:t>Agree</w:t>
            </w:r>
          </w:p>
        </w:tc>
        <w:tc>
          <w:tcPr>
            <w:tcW w:w="2610" w:type="dxa"/>
          </w:tcPr>
          <w:p w14:paraId="3747E988" w14:textId="77777777" w:rsidR="00793FF0" w:rsidRPr="00393971" w:rsidRDefault="00793FF0" w:rsidP="00793FF0">
            <w:pPr>
              <w:rPr>
                <w:rFonts w:cstheme="minorHAnsi"/>
                <w:sz w:val="20"/>
                <w:szCs w:val="20"/>
              </w:rPr>
            </w:pPr>
          </w:p>
        </w:tc>
        <w:tc>
          <w:tcPr>
            <w:tcW w:w="1800" w:type="dxa"/>
          </w:tcPr>
          <w:p w14:paraId="51823A2A" w14:textId="61CADA4F" w:rsidR="00793FF0" w:rsidRPr="00393971" w:rsidRDefault="00593A47" w:rsidP="00793FF0">
            <w:pPr>
              <w:rPr>
                <w:rFonts w:cstheme="minorHAnsi"/>
                <w:sz w:val="20"/>
                <w:szCs w:val="20"/>
              </w:rPr>
            </w:pPr>
            <w:r>
              <w:rPr>
                <w:rFonts w:cstheme="minorHAnsi"/>
                <w:sz w:val="20"/>
                <w:szCs w:val="20"/>
              </w:rPr>
              <w:t>Resolved / agreed</w:t>
            </w:r>
          </w:p>
        </w:tc>
      </w:tr>
      <w:tr w:rsidR="002342C2" w:rsidRPr="00393971" w14:paraId="3AF4E5FC" w14:textId="0BFE3AD9" w:rsidTr="00EE516C">
        <w:tc>
          <w:tcPr>
            <w:tcW w:w="1165" w:type="dxa"/>
            <w:shd w:val="clear" w:color="auto" w:fill="DEEAF6" w:themeFill="accent5" w:themeFillTint="33"/>
          </w:tcPr>
          <w:p w14:paraId="4F0D388B" w14:textId="6FD740BC" w:rsidR="00793FF0" w:rsidRPr="00393971" w:rsidRDefault="0078096C" w:rsidP="00793FF0">
            <w:pPr>
              <w:rPr>
                <w:rFonts w:cstheme="minorHAnsi"/>
                <w:sz w:val="20"/>
                <w:szCs w:val="20"/>
              </w:rPr>
            </w:pPr>
            <w:r>
              <w:rPr>
                <w:rFonts w:cstheme="minorHAnsi"/>
                <w:sz w:val="20"/>
                <w:szCs w:val="20"/>
              </w:rPr>
              <w:t>4</w:t>
            </w:r>
            <w:r w:rsidR="00793FF0" w:rsidRPr="00393971">
              <w:rPr>
                <w:rFonts w:cstheme="minorHAnsi"/>
                <w:sz w:val="20"/>
                <w:szCs w:val="20"/>
              </w:rPr>
              <w:t>. DHP</w:t>
            </w:r>
          </w:p>
        </w:tc>
        <w:tc>
          <w:tcPr>
            <w:tcW w:w="1530" w:type="dxa"/>
          </w:tcPr>
          <w:p w14:paraId="493F0E0D" w14:textId="2D89EB67" w:rsidR="00793FF0" w:rsidRPr="00393971" w:rsidRDefault="00705919" w:rsidP="00793FF0">
            <w:pPr>
              <w:rPr>
                <w:rFonts w:cstheme="minorHAnsi"/>
                <w:sz w:val="20"/>
                <w:szCs w:val="20"/>
              </w:rPr>
            </w:pPr>
            <w:r>
              <w:rPr>
                <w:rFonts w:cstheme="minorHAnsi"/>
                <w:sz w:val="20"/>
                <w:szCs w:val="20"/>
              </w:rPr>
              <w:t>Adjust savings algorithm per 2016 Cadmus</w:t>
            </w:r>
          </w:p>
        </w:tc>
        <w:tc>
          <w:tcPr>
            <w:tcW w:w="1530" w:type="dxa"/>
          </w:tcPr>
          <w:p w14:paraId="130AF599" w14:textId="1509786C" w:rsidR="00793FF0" w:rsidRPr="00393971" w:rsidRDefault="00705919" w:rsidP="00793FF0">
            <w:pPr>
              <w:rPr>
                <w:rFonts w:cstheme="minorHAnsi"/>
                <w:sz w:val="20"/>
                <w:szCs w:val="20"/>
              </w:rPr>
            </w:pPr>
            <w:r>
              <w:rPr>
                <w:rFonts w:cstheme="minorHAnsi"/>
                <w:sz w:val="20"/>
                <w:szCs w:val="20"/>
              </w:rPr>
              <w:t>Adjust savings algorithm per 2016 Cadmus</w:t>
            </w:r>
          </w:p>
        </w:tc>
        <w:tc>
          <w:tcPr>
            <w:tcW w:w="1980" w:type="dxa"/>
          </w:tcPr>
          <w:p w14:paraId="267C9F23" w14:textId="53DC42F3" w:rsidR="00793FF0" w:rsidRPr="00393971" w:rsidRDefault="00705919" w:rsidP="00793FF0">
            <w:pPr>
              <w:rPr>
                <w:rFonts w:cstheme="minorHAnsi"/>
                <w:sz w:val="20"/>
                <w:szCs w:val="20"/>
              </w:rPr>
            </w:pPr>
            <w:r>
              <w:rPr>
                <w:rFonts w:cstheme="minorHAnsi"/>
                <w:sz w:val="20"/>
                <w:szCs w:val="20"/>
              </w:rPr>
              <w:t>Agree with Utility Treatment</w:t>
            </w:r>
          </w:p>
        </w:tc>
        <w:tc>
          <w:tcPr>
            <w:tcW w:w="2430" w:type="dxa"/>
          </w:tcPr>
          <w:p w14:paraId="15F1D02B" w14:textId="6F229619" w:rsidR="00793FF0" w:rsidRPr="00393971" w:rsidRDefault="00DA3ACF" w:rsidP="00793FF0">
            <w:pPr>
              <w:rPr>
                <w:rFonts w:cstheme="minorHAnsi"/>
                <w:sz w:val="20"/>
                <w:szCs w:val="20"/>
              </w:rPr>
            </w:pPr>
            <w:r>
              <w:rPr>
                <w:rFonts w:cstheme="minorHAnsi"/>
                <w:sz w:val="20"/>
                <w:szCs w:val="20"/>
              </w:rPr>
              <w:t>Agree</w:t>
            </w:r>
          </w:p>
        </w:tc>
        <w:tc>
          <w:tcPr>
            <w:tcW w:w="2610" w:type="dxa"/>
          </w:tcPr>
          <w:p w14:paraId="78CBBBEA" w14:textId="77777777" w:rsidR="00793FF0" w:rsidRPr="00393971" w:rsidRDefault="00793FF0" w:rsidP="00793FF0">
            <w:pPr>
              <w:rPr>
                <w:rFonts w:cstheme="minorHAnsi"/>
                <w:sz w:val="20"/>
                <w:szCs w:val="20"/>
              </w:rPr>
            </w:pPr>
          </w:p>
        </w:tc>
        <w:tc>
          <w:tcPr>
            <w:tcW w:w="1800" w:type="dxa"/>
          </w:tcPr>
          <w:p w14:paraId="3324454A" w14:textId="18EBD495" w:rsidR="00793FF0" w:rsidRPr="00393971" w:rsidRDefault="00593A47" w:rsidP="00793FF0">
            <w:pPr>
              <w:rPr>
                <w:rFonts w:cstheme="minorHAnsi"/>
                <w:sz w:val="20"/>
                <w:szCs w:val="20"/>
              </w:rPr>
            </w:pPr>
            <w:r>
              <w:rPr>
                <w:rFonts w:cstheme="minorHAnsi"/>
                <w:sz w:val="20"/>
                <w:szCs w:val="20"/>
              </w:rPr>
              <w:t>Resolved / Agre</w:t>
            </w:r>
            <w:bookmarkStart w:id="1" w:name="_GoBack"/>
            <w:bookmarkEnd w:id="1"/>
            <w:r>
              <w:rPr>
                <w:rFonts w:cstheme="minorHAnsi"/>
                <w:sz w:val="20"/>
                <w:szCs w:val="20"/>
              </w:rPr>
              <w:t>ed</w:t>
            </w:r>
          </w:p>
        </w:tc>
      </w:tr>
      <w:tr w:rsidR="00007568" w:rsidRPr="00393971" w14:paraId="34CC2FB9" w14:textId="77777777" w:rsidTr="00EE516C">
        <w:tc>
          <w:tcPr>
            <w:tcW w:w="1165" w:type="dxa"/>
            <w:shd w:val="clear" w:color="auto" w:fill="DEEAF6" w:themeFill="accent5" w:themeFillTint="33"/>
          </w:tcPr>
          <w:p w14:paraId="78E4740C" w14:textId="77777777" w:rsidR="00007568" w:rsidRPr="00393971" w:rsidRDefault="00007568" w:rsidP="00562C45">
            <w:pPr>
              <w:rPr>
                <w:rFonts w:cstheme="minorHAnsi"/>
                <w:sz w:val="20"/>
                <w:szCs w:val="20"/>
              </w:rPr>
            </w:pPr>
            <w:r>
              <w:rPr>
                <w:rFonts w:cstheme="minorHAnsi"/>
                <w:sz w:val="20"/>
                <w:szCs w:val="20"/>
              </w:rPr>
              <w:lastRenderedPageBreak/>
              <w:t>5</w:t>
            </w:r>
            <w:r w:rsidRPr="00393971">
              <w:rPr>
                <w:rFonts w:cstheme="minorHAnsi"/>
                <w:sz w:val="20"/>
                <w:szCs w:val="20"/>
              </w:rPr>
              <w:t>. Delivered Fuels</w:t>
            </w:r>
          </w:p>
        </w:tc>
        <w:tc>
          <w:tcPr>
            <w:tcW w:w="1530" w:type="dxa"/>
          </w:tcPr>
          <w:p w14:paraId="6F44F7E7" w14:textId="77777777" w:rsidR="00007568" w:rsidRPr="00393971" w:rsidRDefault="00007568" w:rsidP="00562C45">
            <w:pPr>
              <w:rPr>
                <w:rFonts w:cstheme="minorHAnsi"/>
                <w:sz w:val="20"/>
                <w:szCs w:val="20"/>
              </w:rPr>
            </w:pPr>
            <w:r>
              <w:rPr>
                <w:rFonts w:cstheme="minorHAnsi"/>
                <w:sz w:val="20"/>
                <w:szCs w:val="20"/>
              </w:rPr>
              <w:t xml:space="preserve">No separate analysis </w:t>
            </w:r>
            <w:proofErr w:type="gramStart"/>
            <w:r>
              <w:rPr>
                <w:rFonts w:cstheme="minorHAnsi"/>
                <w:sz w:val="20"/>
                <w:szCs w:val="20"/>
              </w:rPr>
              <w:t>included,</w:t>
            </w:r>
            <w:proofErr w:type="gramEnd"/>
            <w:r>
              <w:rPr>
                <w:rFonts w:cstheme="minorHAnsi"/>
                <w:sz w:val="20"/>
                <w:szCs w:val="20"/>
              </w:rPr>
              <w:t xml:space="preserve"> Natural gas findings should be applied. </w:t>
            </w:r>
          </w:p>
        </w:tc>
        <w:tc>
          <w:tcPr>
            <w:tcW w:w="1530" w:type="dxa"/>
          </w:tcPr>
          <w:p w14:paraId="43E74963" w14:textId="3C0FC3FA" w:rsidR="00007568" w:rsidRPr="00A66A2F" w:rsidRDefault="00007568" w:rsidP="00562C45">
            <w:pPr>
              <w:rPr>
                <w:rFonts w:cstheme="minorHAnsi"/>
                <w:sz w:val="20"/>
                <w:szCs w:val="20"/>
              </w:rPr>
            </w:pPr>
            <w:r w:rsidRPr="00A66A2F">
              <w:rPr>
                <w:rFonts w:cstheme="minorHAnsi"/>
                <w:sz w:val="20"/>
                <w:szCs w:val="20"/>
              </w:rPr>
              <w:t>Revert back to old RR</w:t>
            </w:r>
            <w:r w:rsidR="00A66A2F" w:rsidRPr="00A66A2F">
              <w:rPr>
                <w:rFonts w:cstheme="minorHAnsi"/>
                <w:sz w:val="20"/>
                <w:szCs w:val="20"/>
              </w:rPr>
              <w:t>s</w:t>
            </w:r>
            <w:r w:rsidRPr="00A66A2F">
              <w:rPr>
                <w:rFonts w:cstheme="minorHAnsi"/>
                <w:sz w:val="20"/>
                <w:szCs w:val="20"/>
              </w:rPr>
              <w:t xml:space="preserve"> for delivered fuels.</w:t>
            </w:r>
            <w:r w:rsidR="00AC135A">
              <w:rPr>
                <w:rFonts w:cstheme="minorHAnsi"/>
                <w:sz w:val="20"/>
                <w:szCs w:val="20"/>
              </w:rPr>
              <w:t xml:space="preserve"> </w:t>
            </w:r>
            <w:r w:rsidRPr="00A66A2F">
              <w:rPr>
                <w:rFonts w:cstheme="minorHAnsi"/>
                <w:sz w:val="20"/>
                <w:szCs w:val="20"/>
              </w:rPr>
              <w:t xml:space="preserve">Recommend separate delivered fuels study. </w:t>
            </w:r>
          </w:p>
        </w:tc>
        <w:tc>
          <w:tcPr>
            <w:tcW w:w="1980" w:type="dxa"/>
          </w:tcPr>
          <w:p w14:paraId="1AF7272B" w14:textId="2C3EA27C" w:rsidR="00007568" w:rsidRPr="00A66A2F" w:rsidRDefault="00007568" w:rsidP="00562C45">
            <w:pPr>
              <w:rPr>
                <w:rFonts w:cstheme="minorHAnsi"/>
                <w:sz w:val="20"/>
                <w:szCs w:val="20"/>
              </w:rPr>
            </w:pPr>
            <w:r w:rsidRPr="00A66A2F">
              <w:rPr>
                <w:rFonts w:cstheme="minorHAnsi"/>
                <w:sz w:val="20"/>
                <w:szCs w:val="20"/>
              </w:rPr>
              <w:t>Use same savings values as found for natural gas</w:t>
            </w:r>
            <w:r w:rsidR="00F867A6">
              <w:rPr>
                <w:rFonts w:cstheme="minorHAnsi"/>
                <w:sz w:val="20"/>
                <w:szCs w:val="20"/>
              </w:rPr>
              <w:t>;</w:t>
            </w:r>
            <w:r w:rsidR="00A66A2F">
              <w:rPr>
                <w:rFonts w:cstheme="minorHAnsi"/>
                <w:sz w:val="20"/>
                <w:szCs w:val="20"/>
              </w:rPr>
              <w:t xml:space="preserve"> this is best practice in other states</w:t>
            </w:r>
            <w:r w:rsidR="00F867A6">
              <w:rPr>
                <w:rFonts w:cstheme="minorHAnsi"/>
                <w:sz w:val="20"/>
                <w:szCs w:val="20"/>
              </w:rPr>
              <w:t>.</w:t>
            </w:r>
          </w:p>
        </w:tc>
        <w:tc>
          <w:tcPr>
            <w:tcW w:w="2430" w:type="dxa"/>
          </w:tcPr>
          <w:p w14:paraId="16A66C0C" w14:textId="77777777" w:rsidR="00007568" w:rsidRPr="00A66A2F" w:rsidRDefault="00007568" w:rsidP="00562C45">
            <w:pPr>
              <w:rPr>
                <w:rFonts w:cstheme="minorHAnsi"/>
                <w:sz w:val="20"/>
                <w:szCs w:val="20"/>
              </w:rPr>
            </w:pPr>
            <w:r w:rsidRPr="00A66A2F">
              <w:rPr>
                <w:rFonts w:cstheme="minorHAnsi"/>
                <w:sz w:val="20"/>
                <w:szCs w:val="20"/>
              </w:rPr>
              <w:t xml:space="preserve">Higher RR than defensible.  Recommendation for delivered fuels study infeasible / not recommended / not standard practice. </w:t>
            </w:r>
          </w:p>
        </w:tc>
        <w:tc>
          <w:tcPr>
            <w:tcW w:w="2610" w:type="dxa"/>
          </w:tcPr>
          <w:p w14:paraId="098BD085" w14:textId="33A4258D" w:rsidR="00007568" w:rsidRPr="00113F0C" w:rsidRDefault="00B9557F" w:rsidP="00562C45">
            <w:pPr>
              <w:rPr>
                <w:rFonts w:cstheme="minorHAnsi"/>
                <w:sz w:val="20"/>
                <w:szCs w:val="20"/>
              </w:rPr>
            </w:pPr>
            <w:r>
              <w:rPr>
                <w:rFonts w:cstheme="minorHAnsi"/>
                <w:sz w:val="18"/>
                <w:szCs w:val="18"/>
              </w:rPr>
              <w:t xml:space="preserve">Utilities </w:t>
            </w:r>
            <w:r w:rsidR="00113F0C" w:rsidRPr="00EE516C">
              <w:rPr>
                <w:rFonts w:cstheme="minorHAnsi"/>
                <w:sz w:val="18"/>
                <w:szCs w:val="18"/>
              </w:rPr>
              <w:t xml:space="preserve">maintain </w:t>
            </w:r>
            <w:r>
              <w:rPr>
                <w:rFonts w:cstheme="minorHAnsi"/>
                <w:sz w:val="18"/>
                <w:szCs w:val="18"/>
              </w:rPr>
              <w:t>their</w:t>
            </w:r>
            <w:r w:rsidR="00113F0C" w:rsidRPr="00EE516C">
              <w:rPr>
                <w:rFonts w:cstheme="minorHAnsi"/>
                <w:sz w:val="18"/>
                <w:szCs w:val="18"/>
              </w:rPr>
              <w:t xml:space="preserve"> position as filed</w:t>
            </w:r>
            <w:r w:rsidR="007F337B" w:rsidRPr="00EE516C">
              <w:rPr>
                <w:rFonts w:cstheme="minorHAnsi"/>
                <w:sz w:val="18"/>
                <w:szCs w:val="18"/>
              </w:rPr>
              <w:t>.</w:t>
            </w:r>
            <w:r w:rsidR="00113F0C" w:rsidRPr="00EE516C">
              <w:rPr>
                <w:rFonts w:cstheme="minorHAnsi"/>
                <w:sz w:val="18"/>
                <w:szCs w:val="18"/>
              </w:rPr>
              <w:t xml:space="preserve"> </w:t>
            </w:r>
            <w:r w:rsidR="007855F9" w:rsidRPr="00EE516C">
              <w:rPr>
                <w:rFonts w:cstheme="minorHAnsi"/>
                <w:sz w:val="18"/>
                <w:szCs w:val="18"/>
              </w:rPr>
              <w:t xml:space="preserve">Given the already substantial uncertainties regarding the electric and gas results, we are not comfortable adding another layer of uncertainty in applying these results to fuels that were not included West Hill’s analysis. Further, we believe such analysis could be conducted </w:t>
            </w:r>
            <w:r w:rsidR="00050B16" w:rsidRPr="00EE516C">
              <w:rPr>
                <w:rFonts w:cstheme="minorHAnsi"/>
                <w:sz w:val="18"/>
                <w:szCs w:val="18"/>
              </w:rPr>
              <w:t xml:space="preserve">going forward. As </w:t>
            </w:r>
            <w:r w:rsidR="00113F0C" w:rsidRPr="00EE516C">
              <w:rPr>
                <w:rFonts w:cstheme="minorHAnsi"/>
                <w:sz w:val="18"/>
                <w:szCs w:val="18"/>
              </w:rPr>
              <w:t>West Hill’s proposal for R1603 states</w:t>
            </w:r>
            <w:r w:rsidR="00050B16" w:rsidRPr="00EE516C">
              <w:rPr>
                <w:rFonts w:cstheme="minorHAnsi"/>
                <w:sz w:val="18"/>
                <w:szCs w:val="18"/>
              </w:rPr>
              <w:t xml:space="preserve">, </w:t>
            </w:r>
            <w:r w:rsidR="00113F0C" w:rsidRPr="00EE516C">
              <w:rPr>
                <w:rFonts w:cstheme="minorHAnsi"/>
                <w:sz w:val="18"/>
                <w:szCs w:val="18"/>
              </w:rPr>
              <w:t xml:space="preserve">they conducted “both natural gas and delivered fuels billing analysis for NYSERDA’s HPwES program. The realization rates were 48 percent for natural gas and 60 percent for delivered fuels, which suggests that conducting a delivered fuels billing analysis may be a reasonable use of evaluation funds.” The proposal also states: “we have completed delivered fuels billing analyses for both </w:t>
            </w:r>
            <w:proofErr w:type="gramStart"/>
            <w:r w:rsidR="00113F0C" w:rsidRPr="00EE516C">
              <w:rPr>
                <w:rFonts w:cstheme="minorHAnsi"/>
                <w:sz w:val="18"/>
                <w:szCs w:val="18"/>
              </w:rPr>
              <w:t>NYSERDA’s  and</w:t>
            </w:r>
            <w:proofErr w:type="gramEnd"/>
            <w:r w:rsidR="00113F0C" w:rsidRPr="00EE516C">
              <w:rPr>
                <w:rFonts w:cstheme="minorHAnsi"/>
                <w:sz w:val="18"/>
                <w:szCs w:val="18"/>
              </w:rPr>
              <w:t xml:space="preserve"> EVT’s HPwES Programs</w:t>
            </w:r>
            <w:r w:rsidR="00CD4614" w:rsidRPr="00EE516C">
              <w:rPr>
                <w:rFonts w:cstheme="minorHAnsi"/>
                <w:sz w:val="18"/>
                <w:szCs w:val="18"/>
              </w:rPr>
              <w:t>…</w:t>
            </w:r>
            <w:r w:rsidR="00113F0C" w:rsidRPr="00EE516C">
              <w:rPr>
                <w:rFonts w:cstheme="minorHAnsi"/>
                <w:sz w:val="18"/>
                <w:szCs w:val="18"/>
              </w:rPr>
              <w:t>and are conducting one in Maine.”</w:t>
            </w:r>
            <w:r w:rsidR="00596D66" w:rsidRPr="00EE516C">
              <w:rPr>
                <w:rFonts w:cstheme="minorHAnsi"/>
                <w:sz w:val="18"/>
                <w:szCs w:val="18"/>
              </w:rPr>
              <w:t xml:space="preserve"> </w:t>
            </w:r>
          </w:p>
        </w:tc>
        <w:tc>
          <w:tcPr>
            <w:tcW w:w="1800" w:type="dxa"/>
          </w:tcPr>
          <w:p w14:paraId="53CB2EB8" w14:textId="4A698C4B" w:rsidR="00007568" w:rsidRPr="00393971" w:rsidRDefault="00B9557F" w:rsidP="00562C45">
            <w:pPr>
              <w:rPr>
                <w:rFonts w:cstheme="minorHAnsi"/>
                <w:sz w:val="20"/>
                <w:szCs w:val="20"/>
              </w:rPr>
            </w:pPr>
            <w:r>
              <w:rPr>
                <w:rFonts w:cstheme="minorHAnsi"/>
                <w:sz w:val="20"/>
                <w:szCs w:val="20"/>
              </w:rPr>
              <w:t>EA Team may review calculation to determine importance.  2019 actuals needed from utilities to support this review.</w:t>
            </w:r>
          </w:p>
        </w:tc>
      </w:tr>
      <w:tr w:rsidR="00007568" w:rsidRPr="00BF6F10" w14:paraId="2EAB6D4E" w14:textId="77777777" w:rsidTr="00EE516C">
        <w:tc>
          <w:tcPr>
            <w:tcW w:w="1165" w:type="dxa"/>
            <w:shd w:val="clear" w:color="auto" w:fill="DEEAF6" w:themeFill="accent5" w:themeFillTint="33"/>
          </w:tcPr>
          <w:p w14:paraId="184F8EBF" w14:textId="77777777" w:rsidR="00007568" w:rsidRPr="00BF6F10" w:rsidRDefault="00007568" w:rsidP="00562C45">
            <w:pPr>
              <w:rPr>
                <w:rFonts w:cstheme="minorHAnsi"/>
                <w:sz w:val="20"/>
                <w:szCs w:val="20"/>
              </w:rPr>
            </w:pPr>
            <w:r>
              <w:rPr>
                <w:rFonts w:cstheme="minorHAnsi"/>
                <w:sz w:val="20"/>
                <w:szCs w:val="20"/>
              </w:rPr>
              <w:t xml:space="preserve">6. Gas Savings Insulation – </w:t>
            </w:r>
            <w:r>
              <w:rPr>
                <w:rFonts w:cstheme="minorHAnsi"/>
                <w:sz w:val="20"/>
                <w:szCs w:val="20"/>
              </w:rPr>
              <w:lastRenderedPageBreak/>
              <w:t xml:space="preserve">HES - Eversource </w:t>
            </w:r>
          </w:p>
        </w:tc>
        <w:tc>
          <w:tcPr>
            <w:tcW w:w="1530" w:type="dxa"/>
          </w:tcPr>
          <w:p w14:paraId="3F23F440" w14:textId="77777777" w:rsidR="00007568" w:rsidRPr="00BF6F10" w:rsidRDefault="00007568" w:rsidP="00562C45">
            <w:pPr>
              <w:rPr>
                <w:rFonts w:cstheme="minorHAnsi"/>
                <w:sz w:val="20"/>
                <w:szCs w:val="20"/>
              </w:rPr>
            </w:pPr>
            <w:r>
              <w:rPr>
                <w:rFonts w:cstheme="minorHAnsi"/>
                <w:sz w:val="20"/>
                <w:szCs w:val="20"/>
              </w:rPr>
              <w:lastRenderedPageBreak/>
              <w:t xml:space="preserve">15.4 MCF; results in 124% RR based on </w:t>
            </w:r>
            <w:r>
              <w:rPr>
                <w:rFonts w:cstheme="minorHAnsi"/>
                <w:sz w:val="20"/>
                <w:szCs w:val="20"/>
              </w:rPr>
              <w:lastRenderedPageBreak/>
              <w:t>Utility reported savings of 12.4 MCF</w:t>
            </w:r>
          </w:p>
        </w:tc>
        <w:tc>
          <w:tcPr>
            <w:tcW w:w="1530" w:type="dxa"/>
          </w:tcPr>
          <w:p w14:paraId="615E244C" w14:textId="77777777" w:rsidR="00007568" w:rsidRPr="00BF6F10" w:rsidRDefault="00007568" w:rsidP="00562C45">
            <w:pPr>
              <w:rPr>
                <w:rFonts w:cstheme="minorHAnsi"/>
                <w:sz w:val="20"/>
                <w:szCs w:val="20"/>
              </w:rPr>
            </w:pPr>
            <w:r>
              <w:rPr>
                <w:rFonts w:cstheme="minorHAnsi"/>
                <w:sz w:val="20"/>
                <w:szCs w:val="20"/>
              </w:rPr>
              <w:lastRenderedPageBreak/>
              <w:t xml:space="preserve">RR of 106.5% derived using weighted RRs of </w:t>
            </w:r>
            <w:r>
              <w:rPr>
                <w:rFonts w:cstheme="minorHAnsi"/>
                <w:sz w:val="20"/>
                <w:szCs w:val="20"/>
              </w:rPr>
              <w:lastRenderedPageBreak/>
              <w:t>each utility. This results in savings estimate of 13.2 MCF based on 2015-16 reported savings</w:t>
            </w:r>
            <w:r>
              <w:rPr>
                <w:rStyle w:val="FootnoteReference"/>
                <w:rFonts w:cstheme="minorHAnsi"/>
                <w:sz w:val="20"/>
                <w:szCs w:val="20"/>
              </w:rPr>
              <w:footnoteReference w:id="2"/>
            </w:r>
          </w:p>
        </w:tc>
        <w:tc>
          <w:tcPr>
            <w:tcW w:w="1980" w:type="dxa"/>
          </w:tcPr>
          <w:p w14:paraId="73A36AC5" w14:textId="77777777" w:rsidR="00007568" w:rsidRPr="00BF6F10" w:rsidRDefault="00007568" w:rsidP="00562C45">
            <w:pPr>
              <w:rPr>
                <w:rFonts w:cstheme="minorHAnsi"/>
                <w:sz w:val="20"/>
                <w:szCs w:val="20"/>
              </w:rPr>
            </w:pPr>
            <w:r>
              <w:rPr>
                <w:rFonts w:cstheme="minorHAnsi"/>
                <w:sz w:val="20"/>
                <w:szCs w:val="20"/>
              </w:rPr>
              <w:lastRenderedPageBreak/>
              <w:t>17.4 MCF</w:t>
            </w:r>
            <w:r>
              <w:rPr>
                <w:rStyle w:val="FootnoteReference"/>
                <w:rFonts w:cstheme="minorHAnsi"/>
                <w:sz w:val="20"/>
                <w:szCs w:val="20"/>
              </w:rPr>
              <w:footnoteReference w:id="3"/>
            </w:r>
            <w:r>
              <w:rPr>
                <w:rFonts w:cstheme="minorHAnsi"/>
                <w:sz w:val="20"/>
                <w:szCs w:val="20"/>
              </w:rPr>
              <w:t xml:space="preserve"> (midpoint); implies RR=140% for 12.4 </w:t>
            </w:r>
            <w:r>
              <w:rPr>
                <w:rFonts w:cstheme="minorHAnsi"/>
                <w:sz w:val="20"/>
                <w:szCs w:val="20"/>
              </w:rPr>
              <w:lastRenderedPageBreak/>
              <w:t>MCF reported savings. Recompute with 2020 savings assumption.  Maintain utility-specific values.</w:t>
            </w:r>
          </w:p>
        </w:tc>
        <w:tc>
          <w:tcPr>
            <w:tcW w:w="2430" w:type="dxa"/>
          </w:tcPr>
          <w:p w14:paraId="5F440EBC" w14:textId="77777777" w:rsidR="00007568" w:rsidRPr="00BF6F10" w:rsidRDefault="00007568" w:rsidP="00562C45">
            <w:pPr>
              <w:rPr>
                <w:rFonts w:cstheme="minorHAnsi"/>
                <w:sz w:val="20"/>
                <w:szCs w:val="20"/>
              </w:rPr>
            </w:pPr>
            <w:r>
              <w:rPr>
                <w:rFonts w:cstheme="minorHAnsi"/>
                <w:sz w:val="20"/>
                <w:szCs w:val="20"/>
              </w:rPr>
              <w:lastRenderedPageBreak/>
              <w:t xml:space="preserve">Recommend 17.4 MCF savings (midpoint) to reflect positive program </w:t>
            </w:r>
            <w:r>
              <w:rPr>
                <w:rFonts w:cstheme="minorHAnsi"/>
                <w:sz w:val="20"/>
                <w:szCs w:val="20"/>
              </w:rPr>
              <w:lastRenderedPageBreak/>
              <w:t xml:space="preserve">changes in programs.  Compute RR based on 2020 assumptions.  (Utilities please provide) </w:t>
            </w:r>
          </w:p>
        </w:tc>
        <w:tc>
          <w:tcPr>
            <w:tcW w:w="2610" w:type="dxa"/>
          </w:tcPr>
          <w:p w14:paraId="612B13A5" w14:textId="77777777" w:rsidR="00B9557F" w:rsidRDefault="00B9557F" w:rsidP="00B9557F">
            <w:pPr>
              <w:rPr>
                <w:rFonts w:cstheme="minorHAnsi"/>
                <w:sz w:val="20"/>
                <w:szCs w:val="20"/>
              </w:rPr>
            </w:pPr>
            <w:r>
              <w:rPr>
                <w:rFonts w:cstheme="minorHAnsi"/>
                <w:sz w:val="20"/>
                <w:szCs w:val="20"/>
              </w:rPr>
              <w:lastRenderedPageBreak/>
              <w:t>Utilities conducting work to identify specific values, to be based on 2019 gross savings.</w:t>
            </w:r>
          </w:p>
          <w:p w14:paraId="5205EA9C" w14:textId="77777777" w:rsidR="00B9557F" w:rsidRDefault="00B9557F" w:rsidP="0019185C">
            <w:pPr>
              <w:rPr>
                <w:rFonts w:cstheme="minorHAnsi"/>
                <w:sz w:val="20"/>
                <w:szCs w:val="20"/>
              </w:rPr>
            </w:pPr>
          </w:p>
          <w:p w14:paraId="60DF78F9" w14:textId="56ECDE38" w:rsidR="0019185C" w:rsidRDefault="0019185C" w:rsidP="0019185C">
            <w:pPr>
              <w:rPr>
                <w:sz w:val="20"/>
                <w:szCs w:val="20"/>
              </w:rPr>
            </w:pPr>
            <w:r>
              <w:rPr>
                <w:rFonts w:cstheme="minorHAnsi"/>
                <w:sz w:val="20"/>
                <w:szCs w:val="20"/>
              </w:rPr>
              <w:t>2019 gross savings per hom</w:t>
            </w:r>
            <w:r w:rsidR="0067088A">
              <w:rPr>
                <w:rFonts w:cstheme="minorHAnsi"/>
                <w:sz w:val="20"/>
                <w:szCs w:val="20"/>
              </w:rPr>
              <w:t>e were</w:t>
            </w:r>
            <w:r w:rsidR="00B9557F">
              <w:rPr>
                <w:rFonts w:cstheme="minorHAnsi"/>
                <w:sz w:val="20"/>
                <w:szCs w:val="20"/>
              </w:rPr>
              <w:t xml:space="preserve"> XXX</w:t>
            </w:r>
          </w:p>
          <w:p w14:paraId="50F63636" w14:textId="5815E083" w:rsidR="00007568" w:rsidRPr="00113F0C" w:rsidRDefault="0019185C" w:rsidP="0019185C">
            <w:pPr>
              <w:rPr>
                <w:rFonts w:cstheme="minorHAnsi"/>
                <w:sz w:val="20"/>
                <w:szCs w:val="20"/>
              </w:rPr>
            </w:pPr>
            <w:r>
              <w:rPr>
                <w:sz w:val="20"/>
                <w:szCs w:val="20"/>
              </w:rPr>
              <w:t>To get 17.4</w:t>
            </w:r>
            <w:r w:rsidR="00CB2904">
              <w:rPr>
                <w:sz w:val="20"/>
                <w:szCs w:val="20"/>
              </w:rPr>
              <w:t xml:space="preserve"> MCF</w:t>
            </w:r>
            <w:r>
              <w:rPr>
                <w:sz w:val="20"/>
                <w:szCs w:val="20"/>
              </w:rPr>
              <w:t xml:space="preserve">, implies a RR of </w:t>
            </w:r>
            <w:r w:rsidR="00B9557F">
              <w:rPr>
                <w:sz w:val="20"/>
                <w:szCs w:val="20"/>
              </w:rPr>
              <w:t>XXX</w:t>
            </w:r>
          </w:p>
        </w:tc>
        <w:tc>
          <w:tcPr>
            <w:tcW w:w="1800" w:type="dxa"/>
          </w:tcPr>
          <w:p w14:paraId="108A8F62" w14:textId="4E010E95" w:rsidR="00007568" w:rsidRPr="00BF6F10" w:rsidRDefault="00B9557F" w:rsidP="00562C45">
            <w:pPr>
              <w:rPr>
                <w:rFonts w:cstheme="minorHAnsi"/>
                <w:sz w:val="20"/>
                <w:szCs w:val="20"/>
              </w:rPr>
            </w:pPr>
            <w:r>
              <w:rPr>
                <w:rFonts w:cstheme="minorHAnsi"/>
                <w:sz w:val="20"/>
                <w:szCs w:val="20"/>
              </w:rPr>
              <w:lastRenderedPageBreak/>
              <w:t>EA Team provided s</w:t>
            </w:r>
            <w:r w:rsidR="00AC135A">
              <w:rPr>
                <w:rFonts w:cstheme="minorHAnsi"/>
                <w:sz w:val="20"/>
                <w:szCs w:val="20"/>
              </w:rPr>
              <w:t>ome concession in values</w:t>
            </w:r>
            <w:r>
              <w:rPr>
                <w:rFonts w:cstheme="minorHAnsi"/>
                <w:sz w:val="20"/>
                <w:szCs w:val="20"/>
              </w:rPr>
              <w:t xml:space="preserve"> and </w:t>
            </w:r>
            <w:r>
              <w:rPr>
                <w:rFonts w:cstheme="minorHAnsi"/>
                <w:sz w:val="20"/>
                <w:szCs w:val="20"/>
              </w:rPr>
              <w:lastRenderedPageBreak/>
              <w:t xml:space="preserve">suggested the computations be based on </w:t>
            </w:r>
            <w:r w:rsidR="0099381E">
              <w:rPr>
                <w:rFonts w:cstheme="minorHAnsi"/>
                <w:sz w:val="20"/>
                <w:szCs w:val="20"/>
              </w:rPr>
              <w:t xml:space="preserve">evaluated savings, avoiding </w:t>
            </w:r>
            <w:r>
              <w:rPr>
                <w:rFonts w:cstheme="minorHAnsi"/>
                <w:sz w:val="20"/>
                <w:szCs w:val="20"/>
              </w:rPr>
              <w:t xml:space="preserve">focus on </w:t>
            </w:r>
            <w:r w:rsidR="0099381E">
              <w:rPr>
                <w:rFonts w:cstheme="minorHAnsi"/>
                <w:sz w:val="20"/>
                <w:szCs w:val="20"/>
              </w:rPr>
              <w:t>RRs</w:t>
            </w:r>
            <w:r w:rsidR="00AC135A">
              <w:rPr>
                <w:rFonts w:cstheme="minorHAnsi"/>
                <w:sz w:val="20"/>
                <w:szCs w:val="20"/>
              </w:rPr>
              <w:t>.</w:t>
            </w:r>
            <w:r>
              <w:rPr>
                <w:rFonts w:cstheme="minorHAnsi"/>
                <w:sz w:val="20"/>
                <w:szCs w:val="20"/>
              </w:rPr>
              <w:t xml:space="preserve">  Eversource agrees in principle; UI may agree but wants to review effect on C/E (reviewing asap).  EA Team needs consistent treatment across both utilities for agreement.</w:t>
            </w:r>
          </w:p>
        </w:tc>
      </w:tr>
      <w:tr w:rsidR="00007568" w:rsidRPr="00393971" w14:paraId="7BEC00C7" w14:textId="77777777" w:rsidTr="00EE516C">
        <w:tc>
          <w:tcPr>
            <w:tcW w:w="1165" w:type="dxa"/>
            <w:shd w:val="clear" w:color="auto" w:fill="DEEAF6" w:themeFill="accent5" w:themeFillTint="33"/>
          </w:tcPr>
          <w:p w14:paraId="4065096A" w14:textId="4F8FA76A" w:rsidR="00007568" w:rsidRDefault="00007568" w:rsidP="00007568">
            <w:pPr>
              <w:rPr>
                <w:rFonts w:cstheme="minorHAnsi"/>
                <w:sz w:val="20"/>
                <w:szCs w:val="20"/>
              </w:rPr>
            </w:pPr>
            <w:r>
              <w:rPr>
                <w:rFonts w:cstheme="minorHAnsi"/>
                <w:sz w:val="20"/>
                <w:szCs w:val="20"/>
              </w:rPr>
              <w:lastRenderedPageBreak/>
              <w:t xml:space="preserve">7. Gas Savings Insulation – HES -UI </w:t>
            </w:r>
          </w:p>
        </w:tc>
        <w:tc>
          <w:tcPr>
            <w:tcW w:w="1530" w:type="dxa"/>
          </w:tcPr>
          <w:p w14:paraId="7F26F953" w14:textId="551675F5" w:rsidR="00007568" w:rsidRDefault="00007568" w:rsidP="00007568">
            <w:pPr>
              <w:rPr>
                <w:rFonts w:cstheme="minorHAnsi"/>
                <w:sz w:val="20"/>
                <w:szCs w:val="20"/>
              </w:rPr>
            </w:pPr>
            <w:r>
              <w:rPr>
                <w:rFonts w:cstheme="minorHAnsi"/>
                <w:sz w:val="20"/>
                <w:szCs w:val="20"/>
              </w:rPr>
              <w:t>15.4 MCF; results in 95% RR based on Utility reported savings of 16.1 MCF</w:t>
            </w:r>
          </w:p>
        </w:tc>
        <w:tc>
          <w:tcPr>
            <w:tcW w:w="1530" w:type="dxa"/>
          </w:tcPr>
          <w:p w14:paraId="1537F2D8" w14:textId="79EC2D3C" w:rsidR="00007568" w:rsidRDefault="00A66A2F" w:rsidP="00007568">
            <w:pPr>
              <w:rPr>
                <w:rFonts w:cstheme="minorHAnsi"/>
                <w:sz w:val="20"/>
                <w:szCs w:val="20"/>
              </w:rPr>
            </w:pPr>
            <w:r>
              <w:rPr>
                <w:rFonts w:cstheme="minorHAnsi"/>
                <w:sz w:val="20"/>
                <w:szCs w:val="20"/>
              </w:rPr>
              <w:t xml:space="preserve">RR of 106.5% derived using weighted RRs of each utility. This results in savings estimate of 17.1 MCF based on 2015-16 </w:t>
            </w:r>
            <w:r>
              <w:rPr>
                <w:rFonts w:cstheme="minorHAnsi"/>
                <w:sz w:val="20"/>
                <w:szCs w:val="20"/>
              </w:rPr>
              <w:lastRenderedPageBreak/>
              <w:t>reported savings</w:t>
            </w:r>
            <w:r w:rsidR="00F867A6" w:rsidRPr="00AC135A">
              <w:rPr>
                <w:rFonts w:cstheme="minorHAnsi"/>
                <w:sz w:val="20"/>
                <w:szCs w:val="20"/>
                <w:vertAlign w:val="superscript"/>
              </w:rPr>
              <w:t>2</w:t>
            </w:r>
          </w:p>
        </w:tc>
        <w:tc>
          <w:tcPr>
            <w:tcW w:w="1980" w:type="dxa"/>
          </w:tcPr>
          <w:p w14:paraId="1E6C0E87" w14:textId="59B819C9" w:rsidR="00007568" w:rsidRDefault="00007568" w:rsidP="00007568">
            <w:pPr>
              <w:rPr>
                <w:rFonts w:cstheme="minorHAnsi"/>
                <w:sz w:val="20"/>
                <w:szCs w:val="20"/>
              </w:rPr>
            </w:pPr>
            <w:r>
              <w:rPr>
                <w:rFonts w:cstheme="minorHAnsi"/>
                <w:sz w:val="20"/>
                <w:szCs w:val="20"/>
              </w:rPr>
              <w:lastRenderedPageBreak/>
              <w:t>17.4 MCF (midpoint); implies RR=108% for 16.1 MCF reported savings. Recompute with 2020 savings assumption. Maintain utility-specific values.</w:t>
            </w:r>
          </w:p>
        </w:tc>
        <w:tc>
          <w:tcPr>
            <w:tcW w:w="2430" w:type="dxa"/>
          </w:tcPr>
          <w:p w14:paraId="32762484" w14:textId="716B136F" w:rsidR="00007568" w:rsidRDefault="00007568" w:rsidP="00007568">
            <w:pPr>
              <w:rPr>
                <w:rFonts w:cstheme="minorHAnsi"/>
                <w:sz w:val="20"/>
                <w:szCs w:val="20"/>
              </w:rPr>
            </w:pPr>
            <w:r>
              <w:rPr>
                <w:rFonts w:cstheme="minorHAnsi"/>
                <w:sz w:val="20"/>
                <w:szCs w:val="20"/>
              </w:rPr>
              <w:t xml:space="preserve">Recommend 17.4 MCF savings (midpoint) to reflect positive program changes in programs.  Compute RR based on 2020 assumptions.  (Utilities please provide)  </w:t>
            </w:r>
          </w:p>
        </w:tc>
        <w:tc>
          <w:tcPr>
            <w:tcW w:w="2610" w:type="dxa"/>
          </w:tcPr>
          <w:p w14:paraId="79639CC3" w14:textId="77777777" w:rsidR="00007568" w:rsidRPr="00393971" w:rsidRDefault="00007568" w:rsidP="00007568">
            <w:pPr>
              <w:rPr>
                <w:rFonts w:cstheme="minorHAnsi"/>
                <w:sz w:val="20"/>
                <w:szCs w:val="20"/>
              </w:rPr>
            </w:pPr>
          </w:p>
        </w:tc>
        <w:tc>
          <w:tcPr>
            <w:tcW w:w="1800" w:type="dxa"/>
          </w:tcPr>
          <w:p w14:paraId="7D81E99C" w14:textId="5033A04B" w:rsidR="00007568" w:rsidRDefault="00AC135A" w:rsidP="00007568">
            <w:pPr>
              <w:rPr>
                <w:rFonts w:cstheme="minorHAnsi"/>
                <w:sz w:val="20"/>
                <w:szCs w:val="20"/>
              </w:rPr>
            </w:pPr>
            <w:r>
              <w:rPr>
                <w:rFonts w:cstheme="minorHAnsi"/>
                <w:sz w:val="20"/>
                <w:szCs w:val="20"/>
              </w:rPr>
              <w:t>Ditto</w:t>
            </w:r>
          </w:p>
        </w:tc>
      </w:tr>
      <w:tr w:rsidR="00007568" w:rsidRPr="00393971" w14:paraId="0D1A2B18" w14:textId="77777777" w:rsidTr="00EE516C">
        <w:tc>
          <w:tcPr>
            <w:tcW w:w="1165" w:type="dxa"/>
            <w:shd w:val="clear" w:color="auto" w:fill="DEEAF6" w:themeFill="accent5" w:themeFillTint="33"/>
          </w:tcPr>
          <w:p w14:paraId="1E4C4A78" w14:textId="19E84619" w:rsidR="00007568" w:rsidRDefault="00007568" w:rsidP="00007568">
            <w:pPr>
              <w:rPr>
                <w:rFonts w:cstheme="minorHAnsi"/>
                <w:sz w:val="20"/>
                <w:szCs w:val="20"/>
              </w:rPr>
            </w:pPr>
            <w:r>
              <w:rPr>
                <w:rFonts w:cstheme="minorHAnsi"/>
                <w:sz w:val="20"/>
                <w:szCs w:val="20"/>
              </w:rPr>
              <w:t xml:space="preserve">8. Gas Savings Insulation – HES-IE- Eversource </w:t>
            </w:r>
          </w:p>
        </w:tc>
        <w:tc>
          <w:tcPr>
            <w:tcW w:w="1530" w:type="dxa"/>
          </w:tcPr>
          <w:p w14:paraId="6FD1B076" w14:textId="7ED5EB92" w:rsidR="00007568" w:rsidRDefault="00007568" w:rsidP="00007568">
            <w:pPr>
              <w:rPr>
                <w:rFonts w:cstheme="minorHAnsi"/>
                <w:sz w:val="20"/>
                <w:szCs w:val="20"/>
              </w:rPr>
            </w:pPr>
            <w:r>
              <w:rPr>
                <w:rFonts w:cstheme="minorHAnsi"/>
                <w:sz w:val="20"/>
                <w:szCs w:val="20"/>
              </w:rPr>
              <w:t>15.8 MCF; results in 53% RR based on Utility reported savings of 29.6 MCF</w:t>
            </w:r>
          </w:p>
        </w:tc>
        <w:tc>
          <w:tcPr>
            <w:tcW w:w="1530" w:type="dxa"/>
          </w:tcPr>
          <w:p w14:paraId="5A6B9B06" w14:textId="6FBB2C9C" w:rsidR="00007568" w:rsidRDefault="00007568" w:rsidP="00007568">
            <w:pPr>
              <w:rPr>
                <w:rFonts w:cstheme="minorHAnsi"/>
                <w:sz w:val="20"/>
                <w:szCs w:val="20"/>
              </w:rPr>
            </w:pPr>
            <w:r>
              <w:rPr>
                <w:rFonts w:cstheme="minorHAnsi"/>
                <w:sz w:val="20"/>
                <w:szCs w:val="20"/>
              </w:rPr>
              <w:t>RR of 106.5% derived using weighted RRs of HES RR (not HES-IE) of each utility. This results in savings estimate of 31.5 MCF based on 2015-16 reported savings</w:t>
            </w:r>
            <w:r w:rsidRPr="007B2B6C">
              <w:rPr>
                <w:rFonts w:cstheme="minorHAnsi"/>
                <w:sz w:val="20"/>
                <w:szCs w:val="20"/>
                <w:vertAlign w:val="superscript"/>
              </w:rPr>
              <w:t>2</w:t>
            </w:r>
          </w:p>
        </w:tc>
        <w:tc>
          <w:tcPr>
            <w:tcW w:w="1980" w:type="dxa"/>
          </w:tcPr>
          <w:p w14:paraId="6D270E44" w14:textId="7AAB3E26" w:rsidR="00007568" w:rsidRDefault="00007568" w:rsidP="00007568">
            <w:pPr>
              <w:rPr>
                <w:rFonts w:cstheme="minorHAnsi"/>
                <w:sz w:val="20"/>
                <w:szCs w:val="20"/>
              </w:rPr>
            </w:pPr>
            <w:r>
              <w:rPr>
                <w:rFonts w:cstheme="minorHAnsi"/>
                <w:sz w:val="20"/>
                <w:szCs w:val="20"/>
              </w:rPr>
              <w:t>17.4 MCF; (midpoint) implies RR=59% for 29.6 MCF reported savings assumption. Recompute with 2020 savings. Maintain utility-specific values.</w:t>
            </w:r>
          </w:p>
        </w:tc>
        <w:tc>
          <w:tcPr>
            <w:tcW w:w="2430" w:type="dxa"/>
          </w:tcPr>
          <w:p w14:paraId="0E5B45C9" w14:textId="167C4426" w:rsidR="00007568" w:rsidRDefault="00007568" w:rsidP="00007568">
            <w:pPr>
              <w:rPr>
                <w:rFonts w:cstheme="minorHAnsi"/>
                <w:sz w:val="20"/>
                <w:szCs w:val="20"/>
              </w:rPr>
            </w:pPr>
            <w:r>
              <w:rPr>
                <w:rFonts w:cstheme="minorHAnsi"/>
                <w:sz w:val="20"/>
                <w:szCs w:val="20"/>
              </w:rPr>
              <w:t xml:space="preserve">Recommend 17.4 MCF savings (midpoint) to reflect positive program changes in programs.  Compute RR based on 2020 assumptions.  (Utilities please provide) </w:t>
            </w:r>
          </w:p>
        </w:tc>
        <w:tc>
          <w:tcPr>
            <w:tcW w:w="2610" w:type="dxa"/>
          </w:tcPr>
          <w:p w14:paraId="7349E9D4" w14:textId="77777777" w:rsidR="00B9557F" w:rsidRDefault="00B9557F" w:rsidP="00CB2904">
            <w:pPr>
              <w:rPr>
                <w:rFonts w:cstheme="minorHAnsi"/>
                <w:sz w:val="20"/>
                <w:szCs w:val="20"/>
              </w:rPr>
            </w:pPr>
            <w:r>
              <w:rPr>
                <w:rFonts w:cstheme="minorHAnsi"/>
                <w:sz w:val="20"/>
                <w:szCs w:val="20"/>
              </w:rPr>
              <w:t>As above.</w:t>
            </w:r>
          </w:p>
          <w:p w14:paraId="08AD05D2" w14:textId="77777777" w:rsidR="00B9557F" w:rsidRDefault="00B9557F" w:rsidP="00CB2904">
            <w:pPr>
              <w:rPr>
                <w:rFonts w:cstheme="minorHAnsi"/>
                <w:sz w:val="20"/>
                <w:szCs w:val="20"/>
              </w:rPr>
            </w:pPr>
          </w:p>
          <w:p w14:paraId="0EAAACF7" w14:textId="2891EA1A" w:rsidR="00CB2904" w:rsidRDefault="00CB2904" w:rsidP="00CB2904">
            <w:pPr>
              <w:rPr>
                <w:sz w:val="20"/>
                <w:szCs w:val="20"/>
              </w:rPr>
            </w:pPr>
            <w:r>
              <w:rPr>
                <w:rFonts w:cstheme="minorHAnsi"/>
                <w:sz w:val="20"/>
                <w:szCs w:val="20"/>
              </w:rPr>
              <w:t>2019 gross savings per home were</w:t>
            </w:r>
            <w:r w:rsidR="00B9557F">
              <w:rPr>
                <w:rFonts w:cstheme="minorHAnsi"/>
                <w:sz w:val="20"/>
                <w:szCs w:val="20"/>
              </w:rPr>
              <w:t xml:space="preserve"> XXX</w:t>
            </w:r>
          </w:p>
          <w:p w14:paraId="5E90E5E4" w14:textId="00CEB945" w:rsidR="00007568" w:rsidRPr="00393971" w:rsidRDefault="00CB2904" w:rsidP="00CB2904">
            <w:pPr>
              <w:rPr>
                <w:rFonts w:cstheme="minorHAnsi"/>
                <w:sz w:val="20"/>
                <w:szCs w:val="20"/>
              </w:rPr>
            </w:pPr>
            <w:r>
              <w:rPr>
                <w:sz w:val="20"/>
                <w:szCs w:val="20"/>
              </w:rPr>
              <w:t xml:space="preserve">To get 17.4 MCF, implies a RR of </w:t>
            </w:r>
            <w:r w:rsidR="00B9557F">
              <w:rPr>
                <w:sz w:val="20"/>
                <w:szCs w:val="20"/>
              </w:rPr>
              <w:t>XXX.</w:t>
            </w:r>
          </w:p>
        </w:tc>
        <w:tc>
          <w:tcPr>
            <w:tcW w:w="1800" w:type="dxa"/>
          </w:tcPr>
          <w:p w14:paraId="77D04CAB" w14:textId="3D446F75" w:rsidR="00007568" w:rsidRDefault="00AC135A" w:rsidP="00007568">
            <w:pPr>
              <w:rPr>
                <w:rFonts w:cstheme="minorHAnsi"/>
                <w:sz w:val="20"/>
                <w:szCs w:val="20"/>
              </w:rPr>
            </w:pPr>
            <w:r>
              <w:rPr>
                <w:rFonts w:cstheme="minorHAnsi"/>
                <w:sz w:val="20"/>
                <w:szCs w:val="20"/>
              </w:rPr>
              <w:t>Ditto</w:t>
            </w:r>
          </w:p>
        </w:tc>
      </w:tr>
      <w:tr w:rsidR="00007568" w:rsidRPr="00BF6F10" w14:paraId="7BC70A7F" w14:textId="77777777" w:rsidTr="00EE516C">
        <w:tc>
          <w:tcPr>
            <w:tcW w:w="1165" w:type="dxa"/>
            <w:shd w:val="clear" w:color="auto" w:fill="DEEAF6" w:themeFill="accent5" w:themeFillTint="33"/>
          </w:tcPr>
          <w:p w14:paraId="204A4921" w14:textId="77777777" w:rsidR="00007568" w:rsidRPr="00BF6F10" w:rsidRDefault="00007568" w:rsidP="00562C45">
            <w:pPr>
              <w:rPr>
                <w:rFonts w:cstheme="minorHAnsi"/>
                <w:sz w:val="20"/>
                <w:szCs w:val="20"/>
              </w:rPr>
            </w:pPr>
            <w:r>
              <w:rPr>
                <w:rFonts w:cstheme="minorHAnsi"/>
                <w:sz w:val="20"/>
                <w:szCs w:val="20"/>
              </w:rPr>
              <w:t xml:space="preserve">9. Gas Savings Insulation – HES -IE- UI </w:t>
            </w:r>
          </w:p>
        </w:tc>
        <w:tc>
          <w:tcPr>
            <w:tcW w:w="1530" w:type="dxa"/>
          </w:tcPr>
          <w:p w14:paraId="5CE4400B" w14:textId="77777777" w:rsidR="00007568" w:rsidRPr="00BF6F10" w:rsidRDefault="00007568" w:rsidP="00562C45">
            <w:pPr>
              <w:rPr>
                <w:rFonts w:cstheme="minorHAnsi"/>
                <w:sz w:val="20"/>
                <w:szCs w:val="20"/>
              </w:rPr>
            </w:pPr>
            <w:r>
              <w:rPr>
                <w:rFonts w:cstheme="minorHAnsi"/>
                <w:sz w:val="20"/>
                <w:szCs w:val="20"/>
              </w:rPr>
              <w:t>15.8 MCF; results in 32% RR based on Utility reported savings of 49.6 MCF</w:t>
            </w:r>
          </w:p>
        </w:tc>
        <w:tc>
          <w:tcPr>
            <w:tcW w:w="1530" w:type="dxa"/>
          </w:tcPr>
          <w:p w14:paraId="3B79C3A8" w14:textId="77777777" w:rsidR="00007568" w:rsidRPr="00BF6F10" w:rsidRDefault="00007568" w:rsidP="00562C45">
            <w:pPr>
              <w:rPr>
                <w:rFonts w:cstheme="minorHAnsi"/>
                <w:sz w:val="20"/>
                <w:szCs w:val="20"/>
              </w:rPr>
            </w:pPr>
            <w:r>
              <w:rPr>
                <w:rFonts w:cstheme="minorHAnsi"/>
                <w:sz w:val="20"/>
                <w:szCs w:val="20"/>
              </w:rPr>
              <w:t>RR of 106.5% derived using weighted RRs of HES RR (not HES-IE) of each utility. This results in savings estimate of 52.8 MCF based on 2015-16 reported savings</w:t>
            </w:r>
            <w:r w:rsidRPr="007B2B6C">
              <w:rPr>
                <w:rFonts w:cstheme="minorHAnsi"/>
                <w:sz w:val="20"/>
                <w:szCs w:val="20"/>
                <w:vertAlign w:val="superscript"/>
              </w:rPr>
              <w:t>2</w:t>
            </w:r>
          </w:p>
        </w:tc>
        <w:tc>
          <w:tcPr>
            <w:tcW w:w="1980" w:type="dxa"/>
          </w:tcPr>
          <w:p w14:paraId="4953DFD1" w14:textId="77777777" w:rsidR="00007568" w:rsidRPr="00BF6F10" w:rsidRDefault="00007568" w:rsidP="00562C45">
            <w:pPr>
              <w:rPr>
                <w:rFonts w:cstheme="minorHAnsi"/>
                <w:sz w:val="20"/>
                <w:szCs w:val="20"/>
              </w:rPr>
            </w:pPr>
            <w:r>
              <w:rPr>
                <w:rFonts w:cstheme="minorHAnsi"/>
                <w:sz w:val="20"/>
                <w:szCs w:val="20"/>
              </w:rPr>
              <w:t>17.4 MCF (midpoint); implies RR=36% for 48.6 MCF reported savings. Recompute with 2020 savings assumption. Maintain utility-specific values.</w:t>
            </w:r>
          </w:p>
        </w:tc>
        <w:tc>
          <w:tcPr>
            <w:tcW w:w="2430" w:type="dxa"/>
          </w:tcPr>
          <w:p w14:paraId="31BE4253" w14:textId="77777777" w:rsidR="00007568" w:rsidRPr="00BF6F10" w:rsidRDefault="00007568" w:rsidP="00562C45">
            <w:pPr>
              <w:rPr>
                <w:rFonts w:cstheme="minorHAnsi"/>
                <w:sz w:val="20"/>
                <w:szCs w:val="20"/>
              </w:rPr>
            </w:pPr>
            <w:r>
              <w:rPr>
                <w:rFonts w:cstheme="minorHAnsi"/>
                <w:sz w:val="20"/>
                <w:szCs w:val="20"/>
              </w:rPr>
              <w:t xml:space="preserve">Recommend 17.4 MCF savings (midpoint) to reflect positive program changes in programs.  Compute RR based on 2020 assumptions.  (Utilities please provide) </w:t>
            </w:r>
          </w:p>
        </w:tc>
        <w:tc>
          <w:tcPr>
            <w:tcW w:w="2610" w:type="dxa"/>
          </w:tcPr>
          <w:p w14:paraId="6B03251E" w14:textId="77777777" w:rsidR="00007568" w:rsidRPr="00BF6F10" w:rsidRDefault="00007568" w:rsidP="00562C45">
            <w:pPr>
              <w:rPr>
                <w:rFonts w:cstheme="minorHAnsi"/>
                <w:sz w:val="20"/>
                <w:szCs w:val="20"/>
              </w:rPr>
            </w:pPr>
          </w:p>
        </w:tc>
        <w:tc>
          <w:tcPr>
            <w:tcW w:w="1800" w:type="dxa"/>
          </w:tcPr>
          <w:p w14:paraId="72B3EE3A" w14:textId="5C872C3E" w:rsidR="00007568" w:rsidRPr="00BF6F10" w:rsidRDefault="00AC135A" w:rsidP="00562C45">
            <w:pPr>
              <w:rPr>
                <w:rFonts w:cstheme="minorHAnsi"/>
                <w:sz w:val="20"/>
                <w:szCs w:val="20"/>
              </w:rPr>
            </w:pPr>
            <w:r>
              <w:rPr>
                <w:rFonts w:cstheme="minorHAnsi"/>
                <w:sz w:val="20"/>
                <w:szCs w:val="20"/>
              </w:rPr>
              <w:t>Ditto</w:t>
            </w:r>
          </w:p>
        </w:tc>
      </w:tr>
    </w:tbl>
    <w:p w14:paraId="1FD61CE1" w14:textId="0F70AEF9" w:rsidR="00AC135A" w:rsidRDefault="00AC135A" w:rsidP="00B9557F"/>
    <w:sectPr w:rsidR="00AC135A" w:rsidSect="00393971">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A80D5" w14:textId="77777777" w:rsidR="000F375F" w:rsidRDefault="000F375F" w:rsidP="00793FF0">
      <w:pPr>
        <w:spacing w:after="0" w:line="240" w:lineRule="auto"/>
      </w:pPr>
      <w:r>
        <w:separator/>
      </w:r>
    </w:p>
  </w:endnote>
  <w:endnote w:type="continuationSeparator" w:id="0">
    <w:p w14:paraId="1646B1C1" w14:textId="77777777" w:rsidR="000F375F" w:rsidRDefault="000F375F" w:rsidP="00793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C578E" w14:textId="1FD8E979" w:rsidR="00BF7F5D" w:rsidRDefault="000F375F">
    <w:pPr>
      <w:pStyle w:val="Footer"/>
      <w:pBdr>
        <w:top w:val="single" w:sz="4" w:space="1" w:color="D9D9D9" w:themeColor="background1" w:themeShade="D9"/>
      </w:pBdr>
      <w:rPr>
        <w:b/>
        <w:bCs/>
      </w:rPr>
    </w:pPr>
    <w:sdt>
      <w:sdtPr>
        <w:id w:val="1591049044"/>
        <w:docPartObj>
          <w:docPartGallery w:val="Page Numbers (Bottom of Page)"/>
          <w:docPartUnique/>
        </w:docPartObj>
      </w:sdtPr>
      <w:sdtEndPr>
        <w:rPr>
          <w:color w:val="7F7F7F" w:themeColor="background1" w:themeShade="7F"/>
          <w:spacing w:val="60"/>
        </w:rPr>
      </w:sdtEndPr>
      <w:sdtContent>
        <w:r w:rsidR="00BF7F5D">
          <w:fldChar w:fldCharType="begin"/>
        </w:r>
        <w:r w:rsidR="00BF7F5D">
          <w:instrText xml:space="preserve"> PAGE   \* MERGEFORMAT </w:instrText>
        </w:r>
        <w:r w:rsidR="00BF7F5D">
          <w:fldChar w:fldCharType="separate"/>
        </w:r>
        <w:r w:rsidR="00BF7F5D">
          <w:rPr>
            <w:b/>
            <w:bCs/>
            <w:noProof/>
          </w:rPr>
          <w:t>2</w:t>
        </w:r>
        <w:r w:rsidR="00BF7F5D">
          <w:rPr>
            <w:b/>
            <w:bCs/>
            <w:noProof/>
          </w:rPr>
          <w:fldChar w:fldCharType="end"/>
        </w:r>
        <w:r w:rsidR="00BF7F5D">
          <w:rPr>
            <w:b/>
            <w:bCs/>
          </w:rPr>
          <w:t xml:space="preserve"> | </w:t>
        </w:r>
        <w:r w:rsidR="00BF7F5D">
          <w:rPr>
            <w:color w:val="7F7F7F" w:themeColor="background1" w:themeShade="7F"/>
            <w:spacing w:val="60"/>
          </w:rPr>
          <w:t>Page</w:t>
        </w:r>
      </w:sdtContent>
    </w:sdt>
    <w:r w:rsidR="00BF7F5D">
      <w:rPr>
        <w:color w:val="7F7F7F" w:themeColor="background1" w:themeShade="7F"/>
        <w:spacing w:val="60"/>
      </w:rPr>
      <w:t xml:space="preserve">     Discussion / Resolution Table for Treatment of HES Results in PSD</w:t>
    </w:r>
  </w:p>
  <w:p w14:paraId="31D80099" w14:textId="77777777" w:rsidR="00BF7F5D" w:rsidRDefault="00BF7F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603AE" w14:textId="77777777" w:rsidR="000F375F" w:rsidRDefault="000F375F" w:rsidP="00793FF0">
      <w:pPr>
        <w:spacing w:after="0" w:line="240" w:lineRule="auto"/>
      </w:pPr>
      <w:r>
        <w:separator/>
      </w:r>
    </w:p>
  </w:footnote>
  <w:footnote w:type="continuationSeparator" w:id="0">
    <w:p w14:paraId="1F27F40E" w14:textId="77777777" w:rsidR="000F375F" w:rsidRDefault="000F375F" w:rsidP="00793FF0">
      <w:pPr>
        <w:spacing w:after="0" w:line="240" w:lineRule="auto"/>
      </w:pPr>
      <w:r>
        <w:continuationSeparator/>
      </w:r>
    </w:p>
  </w:footnote>
  <w:footnote w:id="1">
    <w:p w14:paraId="05CDEE23" w14:textId="38965738" w:rsidR="00793FF0" w:rsidRDefault="00793FF0">
      <w:pPr>
        <w:pStyle w:val="FootnoteText"/>
      </w:pPr>
      <w:r>
        <w:rPr>
          <w:rStyle w:val="FootnoteReference"/>
        </w:rPr>
        <w:footnoteRef/>
      </w:r>
      <w:r>
        <w:t xml:space="preserve"> Utilities increased Delta watts from 35 kWh per lamp in 2011 PSD, to 54 kWh per lamp for 2015-16.  Increase is not defensible.  Utilities calculate savings using 55 kWh x 2.7 hours per day.  EA team argues 1) Delta watts too high (EISA and baseline), and 2) more defensible hours of use per day from studies is less than 2.3 hours/day and potentially closer to 1 hour/day.  </w:t>
      </w:r>
    </w:p>
  </w:footnote>
  <w:footnote w:id="2">
    <w:p w14:paraId="018D26DA" w14:textId="63DB3CDD" w:rsidR="00007568" w:rsidRPr="007B2B6C" w:rsidRDefault="00007568" w:rsidP="00AC135A">
      <w:pPr>
        <w:spacing w:after="0" w:line="240" w:lineRule="auto"/>
        <w:rPr>
          <w:rFonts w:cstheme="minorHAnsi"/>
          <w:sz w:val="20"/>
          <w:szCs w:val="20"/>
        </w:rPr>
      </w:pPr>
      <w:r w:rsidRPr="007B2B6C">
        <w:rPr>
          <w:rStyle w:val="FootnoteReference"/>
          <w:sz w:val="20"/>
          <w:szCs w:val="20"/>
        </w:rPr>
        <w:footnoteRef/>
      </w:r>
      <w:r w:rsidRPr="007B2B6C">
        <w:rPr>
          <w:sz w:val="20"/>
          <w:szCs w:val="20"/>
        </w:rPr>
        <w:t xml:space="preserve"> </w:t>
      </w:r>
      <w:r w:rsidR="00A66A2F" w:rsidRPr="007B2B6C">
        <w:rPr>
          <w:sz w:val="20"/>
          <w:szCs w:val="20"/>
        </w:rPr>
        <w:t>The Companies were asked their reason for using a weighted statewide RR.  Their reasoning was that having different offerings or different incentive levels between service territories in CT creates issues for vendors and confusion for customers.  They therefore generally try to have statewide RRs so that they can offer the same incentive</w:t>
      </w:r>
      <w:r w:rsidR="00A66A2F">
        <w:rPr>
          <w:sz w:val="20"/>
          <w:szCs w:val="20"/>
        </w:rPr>
        <w:t xml:space="preserve">. This approach relies on </w:t>
      </w:r>
      <w:r w:rsidR="00F867A6">
        <w:rPr>
          <w:sz w:val="20"/>
          <w:szCs w:val="20"/>
        </w:rPr>
        <w:t>problematic</w:t>
      </w:r>
      <w:r w:rsidR="00A66A2F">
        <w:rPr>
          <w:sz w:val="20"/>
          <w:szCs w:val="20"/>
        </w:rPr>
        <w:t xml:space="preserve"> mathematics and </w:t>
      </w:r>
      <w:r w:rsidR="00A66A2F" w:rsidRPr="007B2B6C">
        <w:rPr>
          <w:sz w:val="20"/>
          <w:szCs w:val="20"/>
        </w:rPr>
        <w:t>produces divergent savings estimates</w:t>
      </w:r>
      <w:r w:rsidR="002F3E95">
        <w:rPr>
          <w:sz w:val="20"/>
          <w:szCs w:val="20"/>
        </w:rPr>
        <w:t>.</w:t>
      </w:r>
      <w:r w:rsidR="00A66A2F" w:rsidRPr="007B2B6C">
        <w:rPr>
          <w:sz w:val="20"/>
          <w:szCs w:val="20"/>
        </w:rPr>
        <w:t xml:space="preserve"> </w:t>
      </w:r>
      <w:r w:rsidR="00F867A6">
        <w:rPr>
          <w:sz w:val="20"/>
          <w:szCs w:val="20"/>
        </w:rPr>
        <w:t xml:space="preserve">Also, it is not necessary to have a </w:t>
      </w:r>
      <w:r w:rsidR="00A66A2F">
        <w:rPr>
          <w:sz w:val="20"/>
          <w:szCs w:val="20"/>
        </w:rPr>
        <w:t xml:space="preserve">statewide RR in order to have statewide incentives and offerings.  </w:t>
      </w:r>
      <w:r w:rsidR="00A66A2F" w:rsidRPr="007B2B6C">
        <w:rPr>
          <w:sz w:val="20"/>
          <w:szCs w:val="20"/>
        </w:rPr>
        <w:t xml:space="preserve">We note that no other state that we work in has adopted this practice.  In those states, incentives are set statewide, and </w:t>
      </w:r>
      <w:r w:rsidR="00A66A2F">
        <w:rPr>
          <w:sz w:val="20"/>
          <w:szCs w:val="20"/>
        </w:rPr>
        <w:t xml:space="preserve">the </w:t>
      </w:r>
      <w:r w:rsidR="00A66A2F" w:rsidRPr="007B2B6C">
        <w:rPr>
          <w:sz w:val="20"/>
          <w:szCs w:val="20"/>
        </w:rPr>
        <w:t>reported RRs differ by utility when evidence of differences are detected. RR</w:t>
      </w:r>
      <w:r w:rsidR="00A66A2F">
        <w:rPr>
          <w:sz w:val="20"/>
          <w:szCs w:val="20"/>
        </w:rPr>
        <w:t>s</w:t>
      </w:r>
      <w:r w:rsidR="00A66A2F" w:rsidRPr="007B2B6C">
        <w:rPr>
          <w:sz w:val="20"/>
          <w:szCs w:val="20"/>
        </w:rPr>
        <w:t xml:space="preserve"> may differ because of the underlying differences in weather or housing conditions or because one </w:t>
      </w:r>
      <w:r w:rsidR="00A66A2F" w:rsidRPr="007B2B6C">
        <w:rPr>
          <w:rFonts w:cstheme="minorHAnsi"/>
          <w:sz w:val="20"/>
          <w:szCs w:val="20"/>
        </w:rPr>
        <w:t xml:space="preserve">utility performs differently than another.  </w:t>
      </w:r>
    </w:p>
  </w:footnote>
  <w:footnote w:id="3">
    <w:p w14:paraId="1F1820AF" w14:textId="088F5EAB" w:rsidR="00007568" w:rsidRDefault="00007568" w:rsidP="00AC135A">
      <w:pPr>
        <w:pStyle w:val="FootnoteText"/>
      </w:pPr>
      <w:r>
        <w:rPr>
          <w:rStyle w:val="FootnoteReference"/>
        </w:rPr>
        <w:footnoteRef/>
      </w:r>
      <w:r>
        <w:t xml:space="preserve"> As the </w:t>
      </w:r>
      <w:r w:rsidR="00F867A6">
        <w:t>P</w:t>
      </w:r>
      <w:r>
        <w:t xml:space="preserve">lan notes, program changes have significantly reduced the over-estimation of savings that the billing analysis found.  We can see the possibility that these changes may also improve the performance within each home and result in some additional savings. For that reason, we are suggesting that the 15.4 MCF found for HES and 15.8 MCF found for HES-IE be raised to 17.4 MCF. The 17.4 value is the midpoint between the 15.8 value found for HES-IE and the 18.9 MCF Eversource reported as their 2019 projected </w:t>
      </w:r>
      <w:r w:rsidR="00264B13">
        <w:t xml:space="preserve">gross HES-IE </w:t>
      </w:r>
      <w:r>
        <w:t>savings.  We recommend setting HES values at this same amount.  We also note that no significant difference</w:t>
      </w:r>
      <w:r w:rsidR="00A66A2F">
        <w:t>s</w:t>
      </w:r>
      <w:r>
        <w:t xml:space="preserve"> were found between utility evaluated savings</w:t>
      </w:r>
      <w:r w:rsidR="00A66A2F">
        <w:t>,</w:t>
      </w:r>
      <w:r>
        <w:t xml:space="preserve"> so savings amounts apply to each utility.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34A5"/>
    <w:multiLevelType w:val="hybridMultilevel"/>
    <w:tmpl w:val="D11EE6E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4A43C1"/>
    <w:multiLevelType w:val="hybridMultilevel"/>
    <w:tmpl w:val="FC747A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3033453"/>
    <w:multiLevelType w:val="hybridMultilevel"/>
    <w:tmpl w:val="41B62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E074A1F"/>
    <w:multiLevelType w:val="hybridMultilevel"/>
    <w:tmpl w:val="9F8E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B85956"/>
    <w:multiLevelType w:val="hybridMultilevel"/>
    <w:tmpl w:val="B9F43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C050B4"/>
    <w:multiLevelType w:val="hybridMultilevel"/>
    <w:tmpl w:val="98825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BDC"/>
    <w:rsid w:val="00007568"/>
    <w:rsid w:val="00050B16"/>
    <w:rsid w:val="00063DC0"/>
    <w:rsid w:val="000825D2"/>
    <w:rsid w:val="000B01F1"/>
    <w:rsid w:val="000C2E88"/>
    <w:rsid w:val="000E6FAF"/>
    <w:rsid w:val="000F375F"/>
    <w:rsid w:val="000F63BD"/>
    <w:rsid w:val="00102DD6"/>
    <w:rsid w:val="00113F0C"/>
    <w:rsid w:val="00136796"/>
    <w:rsid w:val="0014106E"/>
    <w:rsid w:val="00181E1D"/>
    <w:rsid w:val="00184D9B"/>
    <w:rsid w:val="0019185C"/>
    <w:rsid w:val="001964F8"/>
    <w:rsid w:val="001D6A3B"/>
    <w:rsid w:val="002342C2"/>
    <w:rsid w:val="00264B13"/>
    <w:rsid w:val="00273624"/>
    <w:rsid w:val="002B2F84"/>
    <w:rsid w:val="002C1311"/>
    <w:rsid w:val="002E0901"/>
    <w:rsid w:val="002F3E95"/>
    <w:rsid w:val="00357237"/>
    <w:rsid w:val="0036213D"/>
    <w:rsid w:val="00387570"/>
    <w:rsid w:val="00393971"/>
    <w:rsid w:val="003A0A9A"/>
    <w:rsid w:val="003A6BDC"/>
    <w:rsid w:val="00422A2A"/>
    <w:rsid w:val="004471A5"/>
    <w:rsid w:val="004A0836"/>
    <w:rsid w:val="004F262B"/>
    <w:rsid w:val="005254B9"/>
    <w:rsid w:val="00535518"/>
    <w:rsid w:val="0055688E"/>
    <w:rsid w:val="005644FB"/>
    <w:rsid w:val="005925BB"/>
    <w:rsid w:val="00593A47"/>
    <w:rsid w:val="00596D66"/>
    <w:rsid w:val="005B5ED9"/>
    <w:rsid w:val="00626AC5"/>
    <w:rsid w:val="00626C81"/>
    <w:rsid w:val="00652173"/>
    <w:rsid w:val="0067088A"/>
    <w:rsid w:val="00675B63"/>
    <w:rsid w:val="00677804"/>
    <w:rsid w:val="00686693"/>
    <w:rsid w:val="006C206F"/>
    <w:rsid w:val="006F1A0A"/>
    <w:rsid w:val="00705919"/>
    <w:rsid w:val="0078096C"/>
    <w:rsid w:val="007855F9"/>
    <w:rsid w:val="00793FF0"/>
    <w:rsid w:val="007B2B6C"/>
    <w:rsid w:val="007E1FFC"/>
    <w:rsid w:val="007F337B"/>
    <w:rsid w:val="00802839"/>
    <w:rsid w:val="00824885"/>
    <w:rsid w:val="008C1DB7"/>
    <w:rsid w:val="008C2B3B"/>
    <w:rsid w:val="008E2993"/>
    <w:rsid w:val="008E33DE"/>
    <w:rsid w:val="008F1CB2"/>
    <w:rsid w:val="0099381E"/>
    <w:rsid w:val="009D1308"/>
    <w:rsid w:val="00A100A2"/>
    <w:rsid w:val="00A3366E"/>
    <w:rsid w:val="00A66A2F"/>
    <w:rsid w:val="00A7146C"/>
    <w:rsid w:val="00AA7ABE"/>
    <w:rsid w:val="00AC0911"/>
    <w:rsid w:val="00AC135A"/>
    <w:rsid w:val="00AD3C85"/>
    <w:rsid w:val="00B07E9B"/>
    <w:rsid w:val="00B460E2"/>
    <w:rsid w:val="00B569CF"/>
    <w:rsid w:val="00B73C90"/>
    <w:rsid w:val="00B92FA7"/>
    <w:rsid w:val="00B9557F"/>
    <w:rsid w:val="00BA6162"/>
    <w:rsid w:val="00BC2F41"/>
    <w:rsid w:val="00BF1477"/>
    <w:rsid w:val="00BF7F5D"/>
    <w:rsid w:val="00C06D92"/>
    <w:rsid w:val="00C57F29"/>
    <w:rsid w:val="00CB2904"/>
    <w:rsid w:val="00CD0A0C"/>
    <w:rsid w:val="00CD4614"/>
    <w:rsid w:val="00D1073D"/>
    <w:rsid w:val="00D13F3F"/>
    <w:rsid w:val="00D22CCE"/>
    <w:rsid w:val="00D43F3D"/>
    <w:rsid w:val="00D52175"/>
    <w:rsid w:val="00D724F6"/>
    <w:rsid w:val="00D85E5F"/>
    <w:rsid w:val="00DA2FC9"/>
    <w:rsid w:val="00DA3ACF"/>
    <w:rsid w:val="00DC2E8B"/>
    <w:rsid w:val="00E21D41"/>
    <w:rsid w:val="00EC5F72"/>
    <w:rsid w:val="00EE516C"/>
    <w:rsid w:val="00EF27ED"/>
    <w:rsid w:val="00EF53E7"/>
    <w:rsid w:val="00F16CCD"/>
    <w:rsid w:val="00F867A6"/>
    <w:rsid w:val="00FF4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32458"/>
  <w15:docId w15:val="{9569711A-921F-4F51-BE35-CEE79ADD4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904"/>
  </w:style>
  <w:style w:type="paragraph" w:styleId="Heading2">
    <w:name w:val="heading 2"/>
    <w:basedOn w:val="Normal"/>
    <w:next w:val="Normal"/>
    <w:link w:val="Heading2Char"/>
    <w:uiPriority w:val="9"/>
    <w:unhideWhenUsed/>
    <w:qFormat/>
    <w:rsid w:val="00626C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26C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uiPriority w:val="9"/>
    <w:semiHidden/>
    <w:unhideWhenUsed/>
    <w:qFormat/>
    <w:rsid w:val="00626C8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92F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2F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2FA7"/>
    <w:rPr>
      <w:rFonts w:ascii="Segoe UI" w:hAnsi="Segoe UI" w:cs="Segoe UI"/>
      <w:sz w:val="18"/>
      <w:szCs w:val="18"/>
    </w:rPr>
  </w:style>
  <w:style w:type="character" w:styleId="CommentReference">
    <w:name w:val="annotation reference"/>
    <w:basedOn w:val="DefaultParagraphFont"/>
    <w:uiPriority w:val="99"/>
    <w:semiHidden/>
    <w:unhideWhenUsed/>
    <w:rsid w:val="00C57F29"/>
    <w:rPr>
      <w:sz w:val="16"/>
      <w:szCs w:val="16"/>
    </w:rPr>
  </w:style>
  <w:style w:type="paragraph" w:styleId="CommentText">
    <w:name w:val="annotation text"/>
    <w:basedOn w:val="Normal"/>
    <w:link w:val="CommentTextChar"/>
    <w:uiPriority w:val="99"/>
    <w:unhideWhenUsed/>
    <w:rsid w:val="00C57F29"/>
    <w:pPr>
      <w:spacing w:line="240" w:lineRule="auto"/>
    </w:pPr>
    <w:rPr>
      <w:sz w:val="20"/>
      <w:szCs w:val="20"/>
    </w:rPr>
  </w:style>
  <w:style w:type="character" w:customStyle="1" w:styleId="CommentTextChar">
    <w:name w:val="Comment Text Char"/>
    <w:basedOn w:val="DefaultParagraphFont"/>
    <w:link w:val="CommentText"/>
    <w:uiPriority w:val="99"/>
    <w:rsid w:val="00C57F29"/>
    <w:rPr>
      <w:sz w:val="20"/>
      <w:szCs w:val="20"/>
    </w:rPr>
  </w:style>
  <w:style w:type="paragraph" w:styleId="CommentSubject">
    <w:name w:val="annotation subject"/>
    <w:basedOn w:val="CommentText"/>
    <w:next w:val="CommentText"/>
    <w:link w:val="CommentSubjectChar"/>
    <w:uiPriority w:val="99"/>
    <w:semiHidden/>
    <w:unhideWhenUsed/>
    <w:rsid w:val="00C57F29"/>
    <w:rPr>
      <w:b/>
      <w:bCs/>
    </w:rPr>
  </w:style>
  <w:style w:type="character" w:customStyle="1" w:styleId="CommentSubjectChar">
    <w:name w:val="Comment Subject Char"/>
    <w:basedOn w:val="CommentTextChar"/>
    <w:link w:val="CommentSubject"/>
    <w:uiPriority w:val="99"/>
    <w:semiHidden/>
    <w:rsid w:val="00C57F29"/>
    <w:rPr>
      <w:b/>
      <w:bCs/>
      <w:sz w:val="20"/>
      <w:szCs w:val="20"/>
    </w:rPr>
  </w:style>
  <w:style w:type="paragraph" w:styleId="ListParagraph">
    <w:name w:val="List Paragraph"/>
    <w:basedOn w:val="Normal"/>
    <w:link w:val="ListParagraphChar"/>
    <w:uiPriority w:val="34"/>
    <w:qFormat/>
    <w:rsid w:val="002B2F84"/>
    <w:pPr>
      <w:ind w:left="720"/>
      <w:contextualSpacing/>
    </w:pPr>
  </w:style>
  <w:style w:type="paragraph" w:styleId="FootnoteText">
    <w:name w:val="footnote text"/>
    <w:aliases w:val="Footnote Text1 Char,Footnote Text Char Ch Char Char Char,Footnote Text Char Ch Char Char,Footnote Text1 Char Char Char,Footnote Text Char Ch Char,Footnote Text Char Ch,ft Char,ft,EMI Footnote Text,DFSListFootnote,TBG Style,ALTS FOOTNOTE,fn"/>
    <w:basedOn w:val="Normal"/>
    <w:link w:val="FootnoteTextChar"/>
    <w:uiPriority w:val="99"/>
    <w:semiHidden/>
    <w:unhideWhenUsed/>
    <w:qFormat/>
    <w:rsid w:val="00793FF0"/>
    <w:pPr>
      <w:spacing w:after="0" w:line="240" w:lineRule="auto"/>
    </w:pPr>
    <w:rPr>
      <w:sz w:val="20"/>
      <w:szCs w:val="20"/>
    </w:rPr>
  </w:style>
  <w:style w:type="character" w:customStyle="1" w:styleId="FootnoteTextChar">
    <w:name w:val="Footnote Text Char"/>
    <w:aliases w:val="Footnote Text1 Char Char,Footnote Text Char Ch Char Char Char Char,Footnote Text Char Ch Char Char Char1,Footnote Text1 Char Char Char Char,Footnote Text Char Ch Char Char1,Footnote Text Char Ch Char1,ft Char Char,ft Char1,fn Char"/>
    <w:basedOn w:val="DefaultParagraphFont"/>
    <w:link w:val="FootnoteText"/>
    <w:uiPriority w:val="99"/>
    <w:semiHidden/>
    <w:rsid w:val="00793FF0"/>
    <w:rPr>
      <w:sz w:val="20"/>
      <w:szCs w:val="20"/>
    </w:rPr>
  </w:style>
  <w:style w:type="character" w:styleId="FootnoteReference">
    <w:name w:val="footnote reference"/>
    <w:aliases w:val="Footnote_Reference,o,fr,TT - Footnote Reference"/>
    <w:basedOn w:val="DefaultParagraphFont"/>
    <w:uiPriority w:val="99"/>
    <w:semiHidden/>
    <w:unhideWhenUsed/>
    <w:qFormat/>
    <w:rsid w:val="00793FF0"/>
    <w:rPr>
      <w:vertAlign w:val="superscript"/>
    </w:rPr>
  </w:style>
  <w:style w:type="character" w:customStyle="1" w:styleId="Heading2Char">
    <w:name w:val="Heading 2 Char"/>
    <w:basedOn w:val="DefaultParagraphFont"/>
    <w:link w:val="Heading2"/>
    <w:uiPriority w:val="9"/>
    <w:rsid w:val="00626C8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626C81"/>
    <w:rPr>
      <w:rFonts w:asciiTheme="majorHAnsi" w:eastAsiaTheme="majorEastAsia" w:hAnsiTheme="majorHAnsi" w:cstheme="majorBidi"/>
      <w:color w:val="1F3763" w:themeColor="accent1" w:themeShade="7F"/>
      <w:sz w:val="24"/>
      <w:szCs w:val="24"/>
    </w:rPr>
  </w:style>
  <w:style w:type="character" w:customStyle="1" w:styleId="NoSpacingChar">
    <w:name w:val="No Spacing Char"/>
    <w:basedOn w:val="DefaultParagraphFont"/>
    <w:link w:val="NoSpacing"/>
    <w:uiPriority w:val="1"/>
    <w:locked/>
    <w:rsid w:val="00626C81"/>
  </w:style>
  <w:style w:type="paragraph" w:styleId="NoSpacing">
    <w:name w:val="No Spacing"/>
    <w:link w:val="NoSpacingChar"/>
    <w:uiPriority w:val="1"/>
    <w:qFormat/>
    <w:rsid w:val="00626C81"/>
    <w:pPr>
      <w:spacing w:after="0" w:line="240" w:lineRule="auto"/>
    </w:pPr>
  </w:style>
  <w:style w:type="character" w:customStyle="1" w:styleId="ListParagraphChar">
    <w:name w:val="List Paragraph Char"/>
    <w:basedOn w:val="DefaultParagraphFont"/>
    <w:link w:val="ListParagraph"/>
    <w:uiPriority w:val="34"/>
    <w:locked/>
    <w:rsid w:val="00626C81"/>
  </w:style>
  <w:style w:type="character" w:customStyle="1" w:styleId="Heading6Char">
    <w:name w:val="Heading 6 Char"/>
    <w:basedOn w:val="DefaultParagraphFont"/>
    <w:link w:val="Heading6"/>
    <w:uiPriority w:val="9"/>
    <w:semiHidden/>
    <w:rsid w:val="00626C81"/>
    <w:rPr>
      <w:rFonts w:asciiTheme="majorHAnsi" w:eastAsiaTheme="majorEastAsia" w:hAnsiTheme="majorHAnsi" w:cstheme="majorBidi"/>
      <w:color w:val="1F3763" w:themeColor="accent1" w:themeShade="7F"/>
    </w:rPr>
  </w:style>
  <w:style w:type="paragraph" w:styleId="Header">
    <w:name w:val="header"/>
    <w:basedOn w:val="Normal"/>
    <w:link w:val="HeaderChar"/>
    <w:uiPriority w:val="99"/>
    <w:unhideWhenUsed/>
    <w:rsid w:val="00B46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0E2"/>
  </w:style>
  <w:style w:type="paragraph" w:styleId="Footer">
    <w:name w:val="footer"/>
    <w:basedOn w:val="Normal"/>
    <w:link w:val="FooterChar"/>
    <w:uiPriority w:val="99"/>
    <w:unhideWhenUsed/>
    <w:rsid w:val="00B46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32726">
      <w:bodyDiv w:val="1"/>
      <w:marLeft w:val="0"/>
      <w:marRight w:val="0"/>
      <w:marTop w:val="0"/>
      <w:marBottom w:val="0"/>
      <w:divBdr>
        <w:top w:val="none" w:sz="0" w:space="0" w:color="auto"/>
        <w:left w:val="none" w:sz="0" w:space="0" w:color="auto"/>
        <w:bottom w:val="none" w:sz="0" w:space="0" w:color="auto"/>
        <w:right w:val="none" w:sz="0" w:space="0" w:color="auto"/>
      </w:divBdr>
    </w:div>
    <w:div w:id="200868072">
      <w:bodyDiv w:val="1"/>
      <w:marLeft w:val="0"/>
      <w:marRight w:val="0"/>
      <w:marTop w:val="0"/>
      <w:marBottom w:val="0"/>
      <w:divBdr>
        <w:top w:val="none" w:sz="0" w:space="0" w:color="auto"/>
        <w:left w:val="none" w:sz="0" w:space="0" w:color="auto"/>
        <w:bottom w:val="none" w:sz="0" w:space="0" w:color="auto"/>
        <w:right w:val="none" w:sz="0" w:space="0" w:color="auto"/>
      </w:divBdr>
    </w:div>
    <w:div w:id="779419900">
      <w:bodyDiv w:val="1"/>
      <w:marLeft w:val="0"/>
      <w:marRight w:val="0"/>
      <w:marTop w:val="0"/>
      <w:marBottom w:val="0"/>
      <w:divBdr>
        <w:top w:val="none" w:sz="0" w:space="0" w:color="auto"/>
        <w:left w:val="none" w:sz="0" w:space="0" w:color="auto"/>
        <w:bottom w:val="none" w:sz="0" w:space="0" w:color="auto"/>
        <w:right w:val="none" w:sz="0" w:space="0" w:color="auto"/>
      </w:divBdr>
    </w:div>
    <w:div w:id="807556650">
      <w:bodyDiv w:val="1"/>
      <w:marLeft w:val="0"/>
      <w:marRight w:val="0"/>
      <w:marTop w:val="0"/>
      <w:marBottom w:val="0"/>
      <w:divBdr>
        <w:top w:val="none" w:sz="0" w:space="0" w:color="auto"/>
        <w:left w:val="none" w:sz="0" w:space="0" w:color="auto"/>
        <w:bottom w:val="none" w:sz="0" w:space="0" w:color="auto"/>
        <w:right w:val="none" w:sz="0" w:space="0" w:color="auto"/>
      </w:divBdr>
    </w:div>
    <w:div w:id="1500347995">
      <w:bodyDiv w:val="1"/>
      <w:marLeft w:val="0"/>
      <w:marRight w:val="0"/>
      <w:marTop w:val="0"/>
      <w:marBottom w:val="0"/>
      <w:divBdr>
        <w:top w:val="none" w:sz="0" w:space="0" w:color="auto"/>
        <w:left w:val="none" w:sz="0" w:space="0" w:color="auto"/>
        <w:bottom w:val="none" w:sz="0" w:space="0" w:color="auto"/>
        <w:right w:val="none" w:sz="0" w:space="0" w:color="auto"/>
      </w:divBdr>
    </w:div>
    <w:div w:id="211231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9E316-64B9-4982-A3BC-7CF00823B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Wirtshafter</dc:creator>
  <cp:lastModifiedBy>Lisa Skumatz</cp:lastModifiedBy>
  <cp:revision>4</cp:revision>
  <cp:lastPrinted>2019-12-04T13:21:00Z</cp:lastPrinted>
  <dcterms:created xsi:type="dcterms:W3CDTF">2019-12-09T11:31:00Z</dcterms:created>
  <dcterms:modified xsi:type="dcterms:W3CDTF">2019-12-09T11:34:00Z</dcterms:modified>
</cp:coreProperties>
</file>