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6F3C3" w14:textId="77777777" w:rsidR="004E7611" w:rsidRDefault="004E7611" w:rsidP="00B33D80">
      <w:pPr>
        <w:spacing w:after="0"/>
      </w:pPr>
    </w:p>
    <w:p w14:paraId="6EC25B7A" w14:textId="77777777" w:rsidR="004E7611" w:rsidRDefault="004E7611" w:rsidP="00B33D80">
      <w:pPr>
        <w:spacing w:after="0"/>
      </w:pPr>
    </w:p>
    <w:p w14:paraId="313C36C8" w14:textId="77777777" w:rsidR="004E7611" w:rsidRDefault="004E7611" w:rsidP="00B33D80">
      <w:pPr>
        <w:spacing w:after="0"/>
      </w:pPr>
    </w:p>
    <w:p w14:paraId="6E0E5A04" w14:textId="77777777" w:rsidR="004E7611" w:rsidRDefault="004E7611" w:rsidP="00B33D80">
      <w:pPr>
        <w:spacing w:after="0"/>
      </w:pPr>
    </w:p>
    <w:p w14:paraId="37A0309B" w14:textId="77777777" w:rsidR="004E7611" w:rsidRDefault="004E7611" w:rsidP="00B33D80">
      <w:pPr>
        <w:spacing w:after="0"/>
      </w:pPr>
    </w:p>
    <w:p w14:paraId="17758C8B" w14:textId="4B53F197" w:rsidR="004E7611" w:rsidRDefault="004A268C" w:rsidP="00B33D80">
      <w:pPr>
        <w:spacing w:after="0"/>
      </w:pPr>
      <w:r w:rsidRPr="00A1605B">
        <w:rPr>
          <w:b/>
          <w:i/>
          <w:noProof/>
          <w:color w:val="8496B0" w:themeColor="text2" w:themeTint="99"/>
          <w:sz w:val="36"/>
          <w:szCs w:val="36"/>
        </w:rPr>
        <w:drawing>
          <wp:inline distT="0" distB="0" distL="0" distR="0" wp14:anchorId="6E680C6A" wp14:editId="28B12131">
            <wp:extent cx="2895600" cy="620486"/>
            <wp:effectExtent l="19050" t="0" r="0" b="0"/>
            <wp:docPr id="4" name="Picture 1" descr="F:\Energize CT logo\EC_logo_Primary_RGB_pr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nergize CT logo\EC_logo_Primary_RGB_print.png"/>
                    <pic:cNvPicPr>
                      <a:picLocks noChangeAspect="1" noChangeArrowheads="1"/>
                    </pic:cNvPicPr>
                  </pic:nvPicPr>
                  <pic:blipFill>
                    <a:blip r:embed="rId8" cstate="print"/>
                    <a:srcRect/>
                    <a:stretch>
                      <a:fillRect/>
                    </a:stretch>
                  </pic:blipFill>
                  <pic:spPr bwMode="auto">
                    <a:xfrm>
                      <a:off x="0" y="0"/>
                      <a:ext cx="2895600" cy="620486"/>
                    </a:xfrm>
                    <a:prstGeom prst="rect">
                      <a:avLst/>
                    </a:prstGeom>
                    <a:noFill/>
                    <a:ln w="9525">
                      <a:noFill/>
                      <a:miter lim="800000"/>
                      <a:headEnd/>
                      <a:tailEnd/>
                    </a:ln>
                  </pic:spPr>
                </pic:pic>
              </a:graphicData>
            </a:graphic>
          </wp:inline>
        </w:drawing>
      </w:r>
    </w:p>
    <w:p w14:paraId="139D68FF" w14:textId="77777777" w:rsidR="004E7611" w:rsidRDefault="004E7611" w:rsidP="00B33D80">
      <w:pPr>
        <w:spacing w:after="0"/>
      </w:pPr>
    </w:p>
    <w:p w14:paraId="18D1B077" w14:textId="2E5310D2" w:rsidR="004E7611" w:rsidRDefault="004E7611" w:rsidP="00B33D80">
      <w:pPr>
        <w:spacing w:after="0"/>
        <w:jc w:val="right"/>
        <w:rPr>
          <w:sz w:val="28"/>
        </w:rPr>
      </w:pPr>
    </w:p>
    <w:p w14:paraId="43B90EB9" w14:textId="227289BB" w:rsidR="004A268C" w:rsidRDefault="004A268C" w:rsidP="00B33D80">
      <w:pPr>
        <w:spacing w:after="0"/>
        <w:jc w:val="right"/>
        <w:rPr>
          <w:sz w:val="28"/>
        </w:rPr>
      </w:pPr>
    </w:p>
    <w:p w14:paraId="1F1A8E12" w14:textId="58C918C9" w:rsidR="004A268C" w:rsidRDefault="004A268C" w:rsidP="00B33D80">
      <w:pPr>
        <w:spacing w:after="0"/>
        <w:jc w:val="right"/>
        <w:rPr>
          <w:sz w:val="28"/>
        </w:rPr>
      </w:pPr>
    </w:p>
    <w:p w14:paraId="35C8C577" w14:textId="724C3607" w:rsidR="004A268C" w:rsidRDefault="004A268C" w:rsidP="00B33D80">
      <w:pPr>
        <w:spacing w:after="0"/>
        <w:jc w:val="right"/>
        <w:rPr>
          <w:sz w:val="28"/>
        </w:rPr>
      </w:pPr>
    </w:p>
    <w:p w14:paraId="70C1958A" w14:textId="4D92B7A8" w:rsidR="004A268C" w:rsidRDefault="004A268C" w:rsidP="00B33D80">
      <w:pPr>
        <w:spacing w:after="0"/>
        <w:jc w:val="right"/>
        <w:rPr>
          <w:sz w:val="28"/>
        </w:rPr>
      </w:pPr>
    </w:p>
    <w:p w14:paraId="109C90DC" w14:textId="77777777" w:rsidR="004A268C" w:rsidRPr="00654CF7" w:rsidRDefault="004A268C" w:rsidP="00B33D80">
      <w:pPr>
        <w:spacing w:after="0"/>
        <w:jc w:val="right"/>
        <w:rPr>
          <w:sz w:val="28"/>
        </w:rPr>
      </w:pPr>
    </w:p>
    <w:p w14:paraId="3F6B970D" w14:textId="2EB79700" w:rsidR="008B5D51" w:rsidRPr="00654CF7" w:rsidRDefault="004E7611" w:rsidP="0081770D">
      <w:pPr>
        <w:spacing w:after="0"/>
        <w:jc w:val="right"/>
        <w:rPr>
          <w:b/>
          <w:i/>
          <w:sz w:val="48"/>
        </w:rPr>
      </w:pPr>
      <w:r w:rsidRPr="00654CF7">
        <w:rPr>
          <w:b/>
          <w:i/>
          <w:sz w:val="48"/>
        </w:rPr>
        <w:t>20</w:t>
      </w:r>
      <w:r w:rsidR="00C94747">
        <w:rPr>
          <w:b/>
          <w:i/>
          <w:sz w:val="48"/>
        </w:rPr>
        <w:t>22</w:t>
      </w:r>
      <w:r w:rsidRPr="00654CF7">
        <w:rPr>
          <w:b/>
          <w:i/>
          <w:sz w:val="48"/>
        </w:rPr>
        <w:t>-</w:t>
      </w:r>
      <w:r w:rsidR="008B5D51" w:rsidRPr="00654CF7">
        <w:rPr>
          <w:b/>
          <w:i/>
          <w:sz w:val="48"/>
        </w:rPr>
        <w:t>2</w:t>
      </w:r>
      <w:r w:rsidR="00C94747">
        <w:rPr>
          <w:b/>
          <w:i/>
          <w:sz w:val="48"/>
        </w:rPr>
        <w:t>4</w:t>
      </w:r>
      <w:r w:rsidRPr="00654CF7">
        <w:rPr>
          <w:b/>
          <w:i/>
          <w:sz w:val="48"/>
        </w:rPr>
        <w:t xml:space="preserve"> </w:t>
      </w:r>
      <w:r w:rsidR="0081770D" w:rsidRPr="00654CF7">
        <w:rPr>
          <w:b/>
          <w:i/>
          <w:sz w:val="48"/>
        </w:rPr>
        <w:t xml:space="preserve">EEB THREE YEAR </w:t>
      </w:r>
      <w:r w:rsidRPr="00654CF7">
        <w:rPr>
          <w:b/>
          <w:i/>
          <w:sz w:val="48"/>
        </w:rPr>
        <w:t xml:space="preserve">EVALUATION </w:t>
      </w:r>
      <w:r w:rsidR="0081770D" w:rsidRPr="00654CF7">
        <w:rPr>
          <w:b/>
          <w:i/>
          <w:sz w:val="48"/>
        </w:rPr>
        <w:t>BUDGET &amp; PLAN</w:t>
      </w:r>
      <w:r w:rsidR="008B5D51" w:rsidRPr="00654CF7">
        <w:rPr>
          <w:b/>
          <w:i/>
          <w:sz w:val="48"/>
        </w:rPr>
        <w:t xml:space="preserve"> </w:t>
      </w:r>
    </w:p>
    <w:p w14:paraId="1D8EB50D" w14:textId="77777777" w:rsidR="0081770D" w:rsidRDefault="0081770D" w:rsidP="0081770D">
      <w:pPr>
        <w:spacing w:after="0"/>
        <w:jc w:val="right"/>
        <w:rPr>
          <w:b/>
          <w:i/>
          <w:sz w:val="40"/>
        </w:rPr>
      </w:pPr>
    </w:p>
    <w:p w14:paraId="06C479B6" w14:textId="77777777" w:rsidR="0081770D" w:rsidRDefault="0081770D" w:rsidP="0081770D">
      <w:pPr>
        <w:spacing w:after="0"/>
        <w:jc w:val="right"/>
        <w:rPr>
          <w:b/>
          <w:i/>
          <w:sz w:val="40"/>
        </w:rPr>
      </w:pPr>
    </w:p>
    <w:p w14:paraId="4B132440" w14:textId="0E276809" w:rsidR="00B97DB9" w:rsidRDefault="00B97DB9" w:rsidP="00B33D80">
      <w:pPr>
        <w:spacing w:after="0"/>
        <w:jc w:val="right"/>
        <w:rPr>
          <w:b/>
          <w:i/>
          <w:sz w:val="36"/>
        </w:rPr>
      </w:pPr>
    </w:p>
    <w:p w14:paraId="37986985" w14:textId="77777777" w:rsidR="00B97DB9" w:rsidRDefault="00B97DB9" w:rsidP="00B33D80">
      <w:pPr>
        <w:spacing w:after="0"/>
        <w:jc w:val="right"/>
        <w:rPr>
          <w:b/>
          <w:i/>
          <w:sz w:val="36"/>
        </w:rPr>
      </w:pPr>
    </w:p>
    <w:p w14:paraId="62D129E0" w14:textId="77777777" w:rsidR="004E7611" w:rsidRDefault="004E7611" w:rsidP="00B33D80">
      <w:pPr>
        <w:spacing w:after="0"/>
        <w:jc w:val="right"/>
      </w:pPr>
    </w:p>
    <w:p w14:paraId="0D405251" w14:textId="24D476D8" w:rsidR="004E7611" w:rsidRDefault="00B97DB9" w:rsidP="00B33D80">
      <w:pPr>
        <w:spacing w:after="0"/>
        <w:jc w:val="right"/>
      </w:pPr>
      <w:r>
        <w:t>December</w:t>
      </w:r>
      <w:r w:rsidR="00C94747">
        <w:t xml:space="preserve"> 15</w:t>
      </w:r>
      <w:r w:rsidR="008B5D51">
        <w:t>, 20</w:t>
      </w:r>
      <w:r w:rsidR="00C94747">
        <w:t>21</w:t>
      </w:r>
    </w:p>
    <w:p w14:paraId="3448B7FF" w14:textId="1158D30B" w:rsidR="004E7611" w:rsidRDefault="00162682" w:rsidP="00B33D80">
      <w:pPr>
        <w:spacing w:after="0"/>
        <w:jc w:val="right"/>
      </w:pPr>
      <w:r>
        <w:t>APPROVED BY EVALUATION COMMITTEE 12/17/21</w:t>
      </w:r>
      <w:r w:rsidR="00B24AF7">
        <w:t xml:space="preserve">, </w:t>
      </w:r>
      <w:r w:rsidR="00B24AF7" w:rsidRPr="00EA1E0F">
        <w:rPr>
          <w:highlight w:val="yellow"/>
        </w:rPr>
        <w:t>minor change 1/7/21</w:t>
      </w:r>
      <w:r w:rsidR="00EA1E0F" w:rsidRPr="00EA1E0F">
        <w:rPr>
          <w:highlight w:val="yellow"/>
        </w:rPr>
        <w:t xml:space="preserve">; reapproved: </w:t>
      </w:r>
      <w:proofErr w:type="spellStart"/>
      <w:r w:rsidR="00EA1E0F" w:rsidRPr="00EA1E0F">
        <w:rPr>
          <w:highlight w:val="yellow"/>
        </w:rPr>
        <w:t>XXXXX</w:t>
      </w:r>
      <w:proofErr w:type="spellEnd"/>
    </w:p>
    <w:p w14:paraId="0F740585" w14:textId="77777777" w:rsidR="00C94747" w:rsidRDefault="00C94747" w:rsidP="00B33D80">
      <w:pPr>
        <w:spacing w:after="0"/>
        <w:jc w:val="right"/>
      </w:pPr>
    </w:p>
    <w:p w14:paraId="64C78A6D" w14:textId="15BD04F6" w:rsidR="004E7611" w:rsidRDefault="004E7611" w:rsidP="00B33D80">
      <w:pPr>
        <w:spacing w:after="0"/>
        <w:jc w:val="right"/>
      </w:pPr>
      <w:r>
        <w:t xml:space="preserve">Prepared for: </w:t>
      </w:r>
    </w:p>
    <w:p w14:paraId="56165ACD" w14:textId="77777777" w:rsidR="004E7611" w:rsidRDefault="004E7611" w:rsidP="00B33D80">
      <w:pPr>
        <w:spacing w:after="0"/>
        <w:jc w:val="right"/>
      </w:pPr>
      <w:r>
        <w:t>CTEEB Evaluation Committee and EEB</w:t>
      </w:r>
    </w:p>
    <w:p w14:paraId="32A65732" w14:textId="77777777" w:rsidR="004E7611" w:rsidRDefault="004E7611" w:rsidP="00B33D80">
      <w:pPr>
        <w:spacing w:after="0"/>
        <w:jc w:val="right"/>
      </w:pPr>
    </w:p>
    <w:p w14:paraId="326BE225" w14:textId="77777777" w:rsidR="004E7611" w:rsidRDefault="004E7611" w:rsidP="00B33D80">
      <w:pPr>
        <w:spacing w:after="0"/>
        <w:jc w:val="right"/>
      </w:pPr>
      <w:r>
        <w:t>Prepared by:</w:t>
      </w:r>
    </w:p>
    <w:p w14:paraId="6FCF7C21" w14:textId="77777777" w:rsidR="004E7611" w:rsidRDefault="004E7611" w:rsidP="00B33D80">
      <w:pPr>
        <w:spacing w:after="0"/>
        <w:jc w:val="right"/>
      </w:pPr>
      <w:r>
        <w:t>Evaluation Administrators:</w:t>
      </w:r>
    </w:p>
    <w:p w14:paraId="05DA0443" w14:textId="77777777" w:rsidR="004E7611" w:rsidRDefault="004E7611" w:rsidP="00B33D80">
      <w:pPr>
        <w:spacing w:after="0"/>
        <w:jc w:val="right"/>
      </w:pPr>
      <w:r>
        <w:t>Lisa A. Skumatz</w:t>
      </w:r>
    </w:p>
    <w:p w14:paraId="17E24500" w14:textId="77777777" w:rsidR="004E7611" w:rsidRDefault="004E7611" w:rsidP="00B33D80">
      <w:pPr>
        <w:spacing w:after="0"/>
        <w:jc w:val="right"/>
      </w:pPr>
      <w:r>
        <w:t>Ralph Prahl</w:t>
      </w:r>
    </w:p>
    <w:p w14:paraId="08626168" w14:textId="77777777" w:rsidR="00C94747" w:rsidRDefault="00C94747" w:rsidP="00B33D80">
      <w:pPr>
        <w:spacing w:after="0"/>
        <w:jc w:val="right"/>
      </w:pPr>
      <w:r>
        <w:t>Robert Wirtshafter</w:t>
      </w:r>
    </w:p>
    <w:p w14:paraId="71679125" w14:textId="77777777" w:rsidR="00C94747" w:rsidRDefault="00C94747" w:rsidP="00B33D80">
      <w:pPr>
        <w:spacing w:after="0"/>
        <w:jc w:val="right"/>
      </w:pPr>
      <w:r>
        <w:t>Peter Jacobs</w:t>
      </w:r>
    </w:p>
    <w:p w14:paraId="2C16B098" w14:textId="6592FFA2" w:rsidR="004E7611" w:rsidRDefault="00C94747" w:rsidP="00C94747">
      <w:pPr>
        <w:spacing w:after="0"/>
        <w:jc w:val="right"/>
      </w:pPr>
      <w:r>
        <w:t>Dakers Gowans</w:t>
      </w:r>
    </w:p>
    <w:p w14:paraId="7D816FC9" w14:textId="77777777" w:rsidR="004E7611" w:rsidRDefault="004E7611" w:rsidP="00B33D80">
      <w:pPr>
        <w:spacing w:after="0"/>
      </w:pPr>
    </w:p>
    <w:p w14:paraId="4BB8DD59" w14:textId="14080BFB" w:rsidR="00AB6E73" w:rsidRDefault="00AB6E73">
      <w:r>
        <w:br w:type="page"/>
      </w:r>
    </w:p>
    <w:p w14:paraId="13C0628B" w14:textId="77777777" w:rsidR="001321D6" w:rsidRDefault="001321D6" w:rsidP="00B33D80">
      <w:pPr>
        <w:spacing w:after="0"/>
      </w:pPr>
    </w:p>
    <w:p w14:paraId="0E106E9C" w14:textId="77777777" w:rsidR="001321D6" w:rsidRDefault="001321D6" w:rsidP="00B33D80">
      <w:pPr>
        <w:spacing w:after="0"/>
      </w:pPr>
      <w:r>
        <w:t>Organization of the Report</w:t>
      </w:r>
    </w:p>
    <w:sdt>
      <w:sdtPr>
        <w:rPr>
          <w:rFonts w:asciiTheme="minorHAnsi" w:eastAsiaTheme="minorHAnsi" w:hAnsiTheme="minorHAnsi" w:cstheme="minorBidi"/>
          <w:color w:val="auto"/>
          <w:sz w:val="22"/>
          <w:szCs w:val="22"/>
        </w:rPr>
        <w:id w:val="1254557620"/>
        <w:docPartObj>
          <w:docPartGallery w:val="Table of Contents"/>
          <w:docPartUnique/>
        </w:docPartObj>
      </w:sdtPr>
      <w:sdtEndPr>
        <w:rPr>
          <w:b/>
          <w:bCs/>
          <w:noProof/>
        </w:rPr>
      </w:sdtEndPr>
      <w:sdtContent>
        <w:p w14:paraId="277010E5" w14:textId="77777777" w:rsidR="00332D97" w:rsidRDefault="00332D97">
          <w:pPr>
            <w:pStyle w:val="TOCHeading"/>
          </w:pPr>
          <w:r>
            <w:t>Contents</w:t>
          </w:r>
        </w:p>
        <w:p w14:paraId="1CFCA932" w14:textId="656B3058" w:rsidR="00F20E49" w:rsidRPr="00F20E49" w:rsidRDefault="00332D97">
          <w:pPr>
            <w:pStyle w:val="TOC1"/>
            <w:tabs>
              <w:tab w:val="right" w:leader="dot" w:pos="9350"/>
            </w:tabs>
            <w:rPr>
              <w:rFonts w:eastAsiaTheme="minorEastAsia"/>
              <w:noProof/>
              <w:sz w:val="20"/>
              <w:szCs w:val="20"/>
            </w:rPr>
          </w:pPr>
          <w:r w:rsidRPr="00F20E49">
            <w:rPr>
              <w:sz w:val="20"/>
              <w:szCs w:val="20"/>
            </w:rPr>
            <w:fldChar w:fldCharType="begin"/>
          </w:r>
          <w:r w:rsidRPr="00F20E49">
            <w:rPr>
              <w:sz w:val="20"/>
              <w:szCs w:val="20"/>
            </w:rPr>
            <w:instrText xml:space="preserve"> TOC \o "1-3" \h \z \u </w:instrText>
          </w:r>
          <w:r w:rsidRPr="00F20E49">
            <w:rPr>
              <w:sz w:val="20"/>
              <w:szCs w:val="20"/>
            </w:rPr>
            <w:fldChar w:fldCharType="separate"/>
          </w:r>
          <w:hyperlink w:anchor="_Toc90618547" w:history="1">
            <w:r w:rsidR="00F20E49" w:rsidRPr="00F20E49">
              <w:rPr>
                <w:rStyle w:val="Hyperlink"/>
                <w:noProof/>
                <w:sz w:val="20"/>
                <w:szCs w:val="20"/>
              </w:rPr>
              <w:t>Abstract</w:t>
            </w:r>
            <w:r w:rsidR="00F20E49" w:rsidRPr="00F20E49">
              <w:rPr>
                <w:noProof/>
                <w:webHidden/>
                <w:sz w:val="20"/>
                <w:szCs w:val="20"/>
              </w:rPr>
              <w:tab/>
            </w:r>
            <w:r w:rsidR="00F20E49" w:rsidRPr="00F20E49">
              <w:rPr>
                <w:noProof/>
                <w:webHidden/>
                <w:sz w:val="20"/>
                <w:szCs w:val="20"/>
              </w:rPr>
              <w:fldChar w:fldCharType="begin"/>
            </w:r>
            <w:r w:rsidR="00F20E49" w:rsidRPr="00F20E49">
              <w:rPr>
                <w:noProof/>
                <w:webHidden/>
                <w:sz w:val="20"/>
                <w:szCs w:val="20"/>
              </w:rPr>
              <w:instrText xml:space="preserve"> PAGEREF _Toc90618547 \h </w:instrText>
            </w:r>
            <w:r w:rsidR="00F20E49" w:rsidRPr="00F20E49">
              <w:rPr>
                <w:noProof/>
                <w:webHidden/>
                <w:sz w:val="20"/>
                <w:szCs w:val="20"/>
              </w:rPr>
            </w:r>
            <w:r w:rsidR="00F20E49" w:rsidRPr="00F20E49">
              <w:rPr>
                <w:noProof/>
                <w:webHidden/>
                <w:sz w:val="20"/>
                <w:szCs w:val="20"/>
              </w:rPr>
              <w:fldChar w:fldCharType="separate"/>
            </w:r>
            <w:r w:rsidR="00D04FD9">
              <w:rPr>
                <w:noProof/>
                <w:webHidden/>
                <w:sz w:val="20"/>
                <w:szCs w:val="20"/>
              </w:rPr>
              <w:t>1</w:t>
            </w:r>
            <w:r w:rsidR="00F20E49" w:rsidRPr="00F20E49">
              <w:rPr>
                <w:noProof/>
                <w:webHidden/>
                <w:sz w:val="20"/>
                <w:szCs w:val="20"/>
              </w:rPr>
              <w:fldChar w:fldCharType="end"/>
            </w:r>
          </w:hyperlink>
        </w:p>
        <w:p w14:paraId="23F3996A" w14:textId="521D316F" w:rsidR="00F20E49" w:rsidRPr="00F20E49" w:rsidRDefault="00C97DF0">
          <w:pPr>
            <w:pStyle w:val="TOC1"/>
            <w:tabs>
              <w:tab w:val="left" w:pos="440"/>
              <w:tab w:val="right" w:leader="dot" w:pos="9350"/>
            </w:tabs>
            <w:rPr>
              <w:rFonts w:eastAsiaTheme="minorEastAsia"/>
              <w:noProof/>
              <w:sz w:val="20"/>
              <w:szCs w:val="20"/>
            </w:rPr>
          </w:pPr>
          <w:hyperlink w:anchor="_Toc90618548" w:history="1">
            <w:r w:rsidR="00F20E49" w:rsidRPr="00F20E49">
              <w:rPr>
                <w:rStyle w:val="Hyperlink"/>
                <w:noProof/>
                <w:sz w:val="20"/>
                <w:szCs w:val="20"/>
              </w:rPr>
              <w:t>1.</w:t>
            </w:r>
            <w:r w:rsidR="00F20E49" w:rsidRPr="00F20E49">
              <w:rPr>
                <w:rFonts w:eastAsiaTheme="minorEastAsia"/>
                <w:noProof/>
                <w:sz w:val="20"/>
                <w:szCs w:val="20"/>
              </w:rPr>
              <w:tab/>
            </w:r>
            <w:r w:rsidR="00F20E49" w:rsidRPr="00F20E49">
              <w:rPr>
                <w:rStyle w:val="Hyperlink"/>
                <w:noProof/>
                <w:sz w:val="20"/>
                <w:szCs w:val="20"/>
              </w:rPr>
              <w:t>Introduction</w:t>
            </w:r>
            <w:r w:rsidR="00F20E49" w:rsidRPr="00F20E49">
              <w:rPr>
                <w:noProof/>
                <w:webHidden/>
                <w:sz w:val="20"/>
                <w:szCs w:val="20"/>
              </w:rPr>
              <w:tab/>
            </w:r>
            <w:r w:rsidR="00F20E49" w:rsidRPr="00F20E49">
              <w:rPr>
                <w:noProof/>
                <w:webHidden/>
                <w:sz w:val="20"/>
                <w:szCs w:val="20"/>
              </w:rPr>
              <w:fldChar w:fldCharType="begin"/>
            </w:r>
            <w:r w:rsidR="00F20E49" w:rsidRPr="00F20E49">
              <w:rPr>
                <w:noProof/>
                <w:webHidden/>
                <w:sz w:val="20"/>
                <w:szCs w:val="20"/>
              </w:rPr>
              <w:instrText xml:space="preserve"> PAGEREF _Toc90618548 \h </w:instrText>
            </w:r>
            <w:r w:rsidR="00F20E49" w:rsidRPr="00F20E49">
              <w:rPr>
                <w:noProof/>
                <w:webHidden/>
                <w:sz w:val="20"/>
                <w:szCs w:val="20"/>
              </w:rPr>
            </w:r>
            <w:r w:rsidR="00F20E49" w:rsidRPr="00F20E49">
              <w:rPr>
                <w:noProof/>
                <w:webHidden/>
                <w:sz w:val="20"/>
                <w:szCs w:val="20"/>
              </w:rPr>
              <w:fldChar w:fldCharType="separate"/>
            </w:r>
            <w:r w:rsidR="00D04FD9">
              <w:rPr>
                <w:noProof/>
                <w:webHidden/>
                <w:sz w:val="20"/>
                <w:szCs w:val="20"/>
              </w:rPr>
              <w:t>4</w:t>
            </w:r>
            <w:r w:rsidR="00F20E49" w:rsidRPr="00F20E49">
              <w:rPr>
                <w:noProof/>
                <w:webHidden/>
                <w:sz w:val="20"/>
                <w:szCs w:val="20"/>
              </w:rPr>
              <w:fldChar w:fldCharType="end"/>
            </w:r>
          </w:hyperlink>
        </w:p>
        <w:p w14:paraId="53513E77" w14:textId="68BCF3C6" w:rsidR="00F20E49" w:rsidRPr="00F20E49" w:rsidRDefault="00C97DF0">
          <w:pPr>
            <w:pStyle w:val="TOC2"/>
            <w:tabs>
              <w:tab w:val="right" w:leader="dot" w:pos="9350"/>
            </w:tabs>
            <w:rPr>
              <w:rFonts w:eastAsiaTheme="minorEastAsia"/>
              <w:noProof/>
              <w:sz w:val="20"/>
              <w:szCs w:val="20"/>
            </w:rPr>
          </w:pPr>
          <w:hyperlink w:anchor="_Toc90618549" w:history="1">
            <w:r w:rsidR="00F20E49" w:rsidRPr="00F20E49">
              <w:rPr>
                <w:rStyle w:val="Hyperlink"/>
                <w:noProof/>
                <w:sz w:val="20"/>
                <w:szCs w:val="20"/>
              </w:rPr>
              <w:t>Summary of Process</w:t>
            </w:r>
            <w:r w:rsidR="00F20E49" w:rsidRPr="00F20E49">
              <w:rPr>
                <w:noProof/>
                <w:webHidden/>
                <w:sz w:val="20"/>
                <w:szCs w:val="20"/>
              </w:rPr>
              <w:tab/>
            </w:r>
            <w:r w:rsidR="00F20E49" w:rsidRPr="00F20E49">
              <w:rPr>
                <w:noProof/>
                <w:webHidden/>
                <w:sz w:val="20"/>
                <w:szCs w:val="20"/>
              </w:rPr>
              <w:fldChar w:fldCharType="begin"/>
            </w:r>
            <w:r w:rsidR="00F20E49" w:rsidRPr="00F20E49">
              <w:rPr>
                <w:noProof/>
                <w:webHidden/>
                <w:sz w:val="20"/>
                <w:szCs w:val="20"/>
              </w:rPr>
              <w:instrText xml:space="preserve"> PAGEREF _Toc90618549 \h </w:instrText>
            </w:r>
            <w:r w:rsidR="00F20E49" w:rsidRPr="00F20E49">
              <w:rPr>
                <w:noProof/>
                <w:webHidden/>
                <w:sz w:val="20"/>
                <w:szCs w:val="20"/>
              </w:rPr>
            </w:r>
            <w:r w:rsidR="00F20E49" w:rsidRPr="00F20E49">
              <w:rPr>
                <w:noProof/>
                <w:webHidden/>
                <w:sz w:val="20"/>
                <w:szCs w:val="20"/>
              </w:rPr>
              <w:fldChar w:fldCharType="separate"/>
            </w:r>
            <w:r w:rsidR="00D04FD9">
              <w:rPr>
                <w:noProof/>
                <w:webHidden/>
                <w:sz w:val="20"/>
                <w:szCs w:val="20"/>
              </w:rPr>
              <w:t>4</w:t>
            </w:r>
            <w:r w:rsidR="00F20E49" w:rsidRPr="00F20E49">
              <w:rPr>
                <w:noProof/>
                <w:webHidden/>
                <w:sz w:val="20"/>
                <w:szCs w:val="20"/>
              </w:rPr>
              <w:fldChar w:fldCharType="end"/>
            </w:r>
          </w:hyperlink>
        </w:p>
        <w:p w14:paraId="6ED63597" w14:textId="56C83D70" w:rsidR="00F20E49" w:rsidRPr="00F20E49" w:rsidRDefault="00C97DF0">
          <w:pPr>
            <w:pStyle w:val="TOC1"/>
            <w:tabs>
              <w:tab w:val="left" w:pos="440"/>
              <w:tab w:val="right" w:leader="dot" w:pos="9350"/>
            </w:tabs>
            <w:rPr>
              <w:rFonts w:eastAsiaTheme="minorEastAsia"/>
              <w:noProof/>
              <w:sz w:val="20"/>
              <w:szCs w:val="20"/>
            </w:rPr>
          </w:pPr>
          <w:hyperlink w:anchor="_Toc90618550" w:history="1">
            <w:r w:rsidR="00F20E49" w:rsidRPr="00F20E49">
              <w:rPr>
                <w:rStyle w:val="Hyperlink"/>
                <w:noProof/>
                <w:sz w:val="20"/>
                <w:szCs w:val="20"/>
              </w:rPr>
              <w:t>2.</w:t>
            </w:r>
            <w:r w:rsidR="00F20E49" w:rsidRPr="00F20E49">
              <w:rPr>
                <w:rFonts w:eastAsiaTheme="minorEastAsia"/>
                <w:noProof/>
                <w:sz w:val="20"/>
                <w:szCs w:val="20"/>
              </w:rPr>
              <w:tab/>
            </w:r>
            <w:r w:rsidR="00F20E49" w:rsidRPr="00F20E49">
              <w:rPr>
                <w:rStyle w:val="Hyperlink"/>
                <w:noProof/>
                <w:sz w:val="20"/>
                <w:szCs w:val="20"/>
              </w:rPr>
              <w:t>Summary of Recommendations – Overall Budget</w:t>
            </w:r>
            <w:r w:rsidR="00F20E49" w:rsidRPr="00F20E49">
              <w:rPr>
                <w:noProof/>
                <w:webHidden/>
                <w:sz w:val="20"/>
                <w:szCs w:val="20"/>
              </w:rPr>
              <w:tab/>
            </w:r>
            <w:r w:rsidR="00F20E49" w:rsidRPr="00F20E49">
              <w:rPr>
                <w:noProof/>
                <w:webHidden/>
                <w:sz w:val="20"/>
                <w:szCs w:val="20"/>
              </w:rPr>
              <w:fldChar w:fldCharType="begin"/>
            </w:r>
            <w:r w:rsidR="00F20E49" w:rsidRPr="00F20E49">
              <w:rPr>
                <w:noProof/>
                <w:webHidden/>
                <w:sz w:val="20"/>
                <w:szCs w:val="20"/>
              </w:rPr>
              <w:instrText xml:space="preserve"> PAGEREF _Toc90618550 \h </w:instrText>
            </w:r>
            <w:r w:rsidR="00F20E49" w:rsidRPr="00F20E49">
              <w:rPr>
                <w:noProof/>
                <w:webHidden/>
                <w:sz w:val="20"/>
                <w:szCs w:val="20"/>
              </w:rPr>
            </w:r>
            <w:r w:rsidR="00F20E49" w:rsidRPr="00F20E49">
              <w:rPr>
                <w:noProof/>
                <w:webHidden/>
                <w:sz w:val="20"/>
                <w:szCs w:val="20"/>
              </w:rPr>
              <w:fldChar w:fldCharType="separate"/>
            </w:r>
            <w:r w:rsidR="00D04FD9">
              <w:rPr>
                <w:noProof/>
                <w:webHidden/>
                <w:sz w:val="20"/>
                <w:szCs w:val="20"/>
              </w:rPr>
              <w:t>5</w:t>
            </w:r>
            <w:r w:rsidR="00F20E49" w:rsidRPr="00F20E49">
              <w:rPr>
                <w:noProof/>
                <w:webHidden/>
                <w:sz w:val="20"/>
                <w:szCs w:val="20"/>
              </w:rPr>
              <w:fldChar w:fldCharType="end"/>
            </w:r>
          </w:hyperlink>
        </w:p>
        <w:p w14:paraId="2AD2E44F" w14:textId="57EC77CC" w:rsidR="00F20E49" w:rsidRPr="00F20E49" w:rsidRDefault="00C97DF0">
          <w:pPr>
            <w:pStyle w:val="TOC2"/>
            <w:tabs>
              <w:tab w:val="right" w:leader="dot" w:pos="9350"/>
            </w:tabs>
            <w:rPr>
              <w:rFonts w:eastAsiaTheme="minorEastAsia"/>
              <w:noProof/>
              <w:sz w:val="20"/>
              <w:szCs w:val="20"/>
            </w:rPr>
          </w:pPr>
          <w:hyperlink w:anchor="_Toc90618551" w:history="1">
            <w:r w:rsidR="00F20E49" w:rsidRPr="00F20E49">
              <w:rPr>
                <w:rStyle w:val="Hyperlink"/>
                <w:noProof/>
                <w:sz w:val="20"/>
                <w:szCs w:val="20"/>
              </w:rPr>
              <w:t>Budget Summary and Caveats</w:t>
            </w:r>
            <w:r w:rsidR="00F20E49" w:rsidRPr="00F20E49">
              <w:rPr>
                <w:noProof/>
                <w:webHidden/>
                <w:sz w:val="20"/>
                <w:szCs w:val="20"/>
              </w:rPr>
              <w:tab/>
            </w:r>
            <w:r w:rsidR="00F20E49" w:rsidRPr="00F20E49">
              <w:rPr>
                <w:noProof/>
                <w:webHidden/>
                <w:sz w:val="20"/>
                <w:szCs w:val="20"/>
              </w:rPr>
              <w:fldChar w:fldCharType="begin"/>
            </w:r>
            <w:r w:rsidR="00F20E49" w:rsidRPr="00F20E49">
              <w:rPr>
                <w:noProof/>
                <w:webHidden/>
                <w:sz w:val="20"/>
                <w:szCs w:val="20"/>
              </w:rPr>
              <w:instrText xml:space="preserve"> PAGEREF _Toc90618551 \h </w:instrText>
            </w:r>
            <w:r w:rsidR="00F20E49" w:rsidRPr="00F20E49">
              <w:rPr>
                <w:noProof/>
                <w:webHidden/>
                <w:sz w:val="20"/>
                <w:szCs w:val="20"/>
              </w:rPr>
            </w:r>
            <w:r w:rsidR="00F20E49" w:rsidRPr="00F20E49">
              <w:rPr>
                <w:noProof/>
                <w:webHidden/>
                <w:sz w:val="20"/>
                <w:szCs w:val="20"/>
              </w:rPr>
              <w:fldChar w:fldCharType="separate"/>
            </w:r>
            <w:r w:rsidR="00D04FD9">
              <w:rPr>
                <w:noProof/>
                <w:webHidden/>
                <w:sz w:val="20"/>
                <w:szCs w:val="20"/>
              </w:rPr>
              <w:t>5</w:t>
            </w:r>
            <w:r w:rsidR="00F20E49" w:rsidRPr="00F20E49">
              <w:rPr>
                <w:noProof/>
                <w:webHidden/>
                <w:sz w:val="20"/>
                <w:szCs w:val="20"/>
              </w:rPr>
              <w:fldChar w:fldCharType="end"/>
            </w:r>
          </w:hyperlink>
        </w:p>
        <w:p w14:paraId="778D6750" w14:textId="53ECEC76" w:rsidR="00F20E49" w:rsidRPr="00F20E49" w:rsidRDefault="00C97DF0">
          <w:pPr>
            <w:pStyle w:val="TOC2"/>
            <w:tabs>
              <w:tab w:val="right" w:leader="dot" w:pos="9350"/>
            </w:tabs>
            <w:rPr>
              <w:rFonts w:eastAsiaTheme="minorEastAsia"/>
              <w:noProof/>
              <w:sz w:val="20"/>
              <w:szCs w:val="20"/>
            </w:rPr>
          </w:pPr>
          <w:hyperlink w:anchor="_Toc90618552" w:history="1">
            <w:r w:rsidR="00F20E49" w:rsidRPr="00F20E49">
              <w:rPr>
                <w:rStyle w:val="Hyperlink"/>
                <w:noProof/>
                <w:sz w:val="20"/>
                <w:szCs w:val="20"/>
              </w:rPr>
              <w:t>Budget for the Three-Year Evaluation Budget and Plan</w:t>
            </w:r>
            <w:r w:rsidR="00F20E49" w:rsidRPr="00F20E49">
              <w:rPr>
                <w:noProof/>
                <w:webHidden/>
                <w:sz w:val="20"/>
                <w:szCs w:val="20"/>
              </w:rPr>
              <w:tab/>
            </w:r>
            <w:r w:rsidR="00F20E49" w:rsidRPr="00F20E49">
              <w:rPr>
                <w:noProof/>
                <w:webHidden/>
                <w:sz w:val="20"/>
                <w:szCs w:val="20"/>
              </w:rPr>
              <w:fldChar w:fldCharType="begin"/>
            </w:r>
            <w:r w:rsidR="00F20E49" w:rsidRPr="00F20E49">
              <w:rPr>
                <w:noProof/>
                <w:webHidden/>
                <w:sz w:val="20"/>
                <w:szCs w:val="20"/>
              </w:rPr>
              <w:instrText xml:space="preserve"> PAGEREF _Toc90618552 \h </w:instrText>
            </w:r>
            <w:r w:rsidR="00F20E49" w:rsidRPr="00F20E49">
              <w:rPr>
                <w:noProof/>
                <w:webHidden/>
                <w:sz w:val="20"/>
                <w:szCs w:val="20"/>
              </w:rPr>
            </w:r>
            <w:r w:rsidR="00F20E49" w:rsidRPr="00F20E49">
              <w:rPr>
                <w:noProof/>
                <w:webHidden/>
                <w:sz w:val="20"/>
                <w:szCs w:val="20"/>
              </w:rPr>
              <w:fldChar w:fldCharType="separate"/>
            </w:r>
            <w:r w:rsidR="00D04FD9">
              <w:rPr>
                <w:noProof/>
                <w:webHidden/>
                <w:sz w:val="20"/>
                <w:szCs w:val="20"/>
              </w:rPr>
              <w:t>7</w:t>
            </w:r>
            <w:r w:rsidR="00F20E49" w:rsidRPr="00F20E49">
              <w:rPr>
                <w:noProof/>
                <w:webHidden/>
                <w:sz w:val="20"/>
                <w:szCs w:val="20"/>
              </w:rPr>
              <w:fldChar w:fldCharType="end"/>
            </w:r>
          </w:hyperlink>
        </w:p>
        <w:p w14:paraId="06C1663F" w14:textId="638AC493" w:rsidR="00F20E49" w:rsidRPr="00F20E49" w:rsidRDefault="00C97DF0">
          <w:pPr>
            <w:pStyle w:val="TOC1"/>
            <w:tabs>
              <w:tab w:val="left" w:pos="440"/>
              <w:tab w:val="right" w:leader="dot" w:pos="9350"/>
            </w:tabs>
            <w:rPr>
              <w:rFonts w:eastAsiaTheme="minorEastAsia"/>
              <w:noProof/>
              <w:sz w:val="20"/>
              <w:szCs w:val="20"/>
            </w:rPr>
          </w:pPr>
          <w:hyperlink w:anchor="_Toc90618553" w:history="1">
            <w:r w:rsidR="00F20E49" w:rsidRPr="00F20E49">
              <w:rPr>
                <w:rStyle w:val="Hyperlink"/>
                <w:noProof/>
                <w:sz w:val="20"/>
                <w:szCs w:val="20"/>
              </w:rPr>
              <w:t>3.</w:t>
            </w:r>
            <w:r w:rsidR="00F20E49" w:rsidRPr="00F20E49">
              <w:rPr>
                <w:rFonts w:eastAsiaTheme="minorEastAsia"/>
                <w:noProof/>
                <w:sz w:val="20"/>
                <w:szCs w:val="20"/>
              </w:rPr>
              <w:tab/>
            </w:r>
            <w:r w:rsidR="00F20E49" w:rsidRPr="00F20E49">
              <w:rPr>
                <w:rStyle w:val="Hyperlink"/>
                <w:noProof/>
                <w:sz w:val="20"/>
                <w:szCs w:val="20"/>
              </w:rPr>
              <w:t>Recommended Studies for the Three-Year Evaluation Plan</w:t>
            </w:r>
            <w:r w:rsidR="00F20E49" w:rsidRPr="00F20E49">
              <w:rPr>
                <w:noProof/>
                <w:webHidden/>
                <w:sz w:val="20"/>
                <w:szCs w:val="20"/>
              </w:rPr>
              <w:tab/>
            </w:r>
            <w:r w:rsidR="00F20E49" w:rsidRPr="00F20E49">
              <w:rPr>
                <w:noProof/>
                <w:webHidden/>
                <w:sz w:val="20"/>
                <w:szCs w:val="20"/>
              </w:rPr>
              <w:fldChar w:fldCharType="begin"/>
            </w:r>
            <w:r w:rsidR="00F20E49" w:rsidRPr="00F20E49">
              <w:rPr>
                <w:noProof/>
                <w:webHidden/>
                <w:sz w:val="20"/>
                <w:szCs w:val="20"/>
              </w:rPr>
              <w:instrText xml:space="preserve"> PAGEREF _Toc90618553 \h </w:instrText>
            </w:r>
            <w:r w:rsidR="00F20E49" w:rsidRPr="00F20E49">
              <w:rPr>
                <w:noProof/>
                <w:webHidden/>
                <w:sz w:val="20"/>
                <w:szCs w:val="20"/>
              </w:rPr>
            </w:r>
            <w:r w:rsidR="00F20E49" w:rsidRPr="00F20E49">
              <w:rPr>
                <w:noProof/>
                <w:webHidden/>
                <w:sz w:val="20"/>
                <w:szCs w:val="20"/>
              </w:rPr>
              <w:fldChar w:fldCharType="separate"/>
            </w:r>
            <w:r w:rsidR="00D04FD9">
              <w:rPr>
                <w:noProof/>
                <w:webHidden/>
                <w:sz w:val="20"/>
                <w:szCs w:val="20"/>
              </w:rPr>
              <w:t>7</w:t>
            </w:r>
            <w:r w:rsidR="00F20E49" w:rsidRPr="00F20E49">
              <w:rPr>
                <w:noProof/>
                <w:webHidden/>
                <w:sz w:val="20"/>
                <w:szCs w:val="20"/>
              </w:rPr>
              <w:fldChar w:fldCharType="end"/>
            </w:r>
          </w:hyperlink>
        </w:p>
        <w:p w14:paraId="447C2DDE" w14:textId="7EDA8EA2" w:rsidR="00F20E49" w:rsidRPr="00F20E49" w:rsidRDefault="00C97DF0">
          <w:pPr>
            <w:pStyle w:val="TOC1"/>
            <w:tabs>
              <w:tab w:val="left" w:pos="440"/>
              <w:tab w:val="right" w:leader="dot" w:pos="9350"/>
            </w:tabs>
            <w:rPr>
              <w:rFonts w:eastAsiaTheme="minorEastAsia"/>
              <w:noProof/>
              <w:sz w:val="20"/>
              <w:szCs w:val="20"/>
            </w:rPr>
          </w:pPr>
          <w:hyperlink w:anchor="_Toc90618554" w:history="1">
            <w:r w:rsidR="00F20E49" w:rsidRPr="00F20E49">
              <w:rPr>
                <w:rStyle w:val="Hyperlink"/>
                <w:noProof/>
                <w:sz w:val="20"/>
                <w:szCs w:val="20"/>
              </w:rPr>
              <w:t>4.</w:t>
            </w:r>
            <w:r w:rsidR="00F20E49" w:rsidRPr="00F20E49">
              <w:rPr>
                <w:rFonts w:eastAsiaTheme="minorEastAsia"/>
                <w:noProof/>
                <w:sz w:val="20"/>
                <w:szCs w:val="20"/>
              </w:rPr>
              <w:tab/>
            </w:r>
            <w:r w:rsidR="00F20E49" w:rsidRPr="00F20E49">
              <w:rPr>
                <w:rStyle w:val="Hyperlink"/>
                <w:noProof/>
                <w:sz w:val="20"/>
                <w:szCs w:val="20"/>
              </w:rPr>
              <w:t>Study Descriptions</w:t>
            </w:r>
            <w:r w:rsidR="00F20E49" w:rsidRPr="00F20E49">
              <w:rPr>
                <w:noProof/>
                <w:webHidden/>
                <w:sz w:val="20"/>
                <w:szCs w:val="20"/>
              </w:rPr>
              <w:tab/>
            </w:r>
            <w:r w:rsidR="00F20E49" w:rsidRPr="00F20E49">
              <w:rPr>
                <w:noProof/>
                <w:webHidden/>
                <w:sz w:val="20"/>
                <w:szCs w:val="20"/>
              </w:rPr>
              <w:fldChar w:fldCharType="begin"/>
            </w:r>
            <w:r w:rsidR="00F20E49" w:rsidRPr="00F20E49">
              <w:rPr>
                <w:noProof/>
                <w:webHidden/>
                <w:sz w:val="20"/>
                <w:szCs w:val="20"/>
              </w:rPr>
              <w:instrText xml:space="preserve"> PAGEREF _Toc90618554 \h </w:instrText>
            </w:r>
            <w:r w:rsidR="00F20E49" w:rsidRPr="00F20E49">
              <w:rPr>
                <w:noProof/>
                <w:webHidden/>
                <w:sz w:val="20"/>
                <w:szCs w:val="20"/>
              </w:rPr>
            </w:r>
            <w:r w:rsidR="00F20E49" w:rsidRPr="00F20E49">
              <w:rPr>
                <w:noProof/>
                <w:webHidden/>
                <w:sz w:val="20"/>
                <w:szCs w:val="20"/>
              </w:rPr>
              <w:fldChar w:fldCharType="separate"/>
            </w:r>
            <w:r w:rsidR="00D04FD9">
              <w:rPr>
                <w:noProof/>
                <w:webHidden/>
                <w:sz w:val="20"/>
                <w:szCs w:val="20"/>
              </w:rPr>
              <w:t>9</w:t>
            </w:r>
            <w:r w:rsidR="00F20E49" w:rsidRPr="00F20E49">
              <w:rPr>
                <w:noProof/>
                <w:webHidden/>
                <w:sz w:val="20"/>
                <w:szCs w:val="20"/>
              </w:rPr>
              <w:fldChar w:fldCharType="end"/>
            </w:r>
          </w:hyperlink>
        </w:p>
        <w:p w14:paraId="6AF87337" w14:textId="6864DEE1" w:rsidR="00F20E49" w:rsidRPr="00F20E49" w:rsidRDefault="00C97DF0">
          <w:pPr>
            <w:pStyle w:val="TOC2"/>
            <w:tabs>
              <w:tab w:val="right" w:leader="dot" w:pos="9350"/>
            </w:tabs>
            <w:rPr>
              <w:rFonts w:eastAsiaTheme="minorEastAsia"/>
              <w:noProof/>
              <w:sz w:val="20"/>
              <w:szCs w:val="20"/>
            </w:rPr>
          </w:pPr>
          <w:hyperlink w:anchor="_Toc90618555" w:history="1">
            <w:r w:rsidR="00F20E49" w:rsidRPr="00F20E49">
              <w:rPr>
                <w:rStyle w:val="Hyperlink"/>
                <w:noProof/>
                <w:sz w:val="20"/>
                <w:szCs w:val="20"/>
              </w:rPr>
              <w:t>4.1 Baseline Studies (2201-2209)</w:t>
            </w:r>
            <w:r w:rsidR="00F20E49" w:rsidRPr="00F20E49">
              <w:rPr>
                <w:noProof/>
                <w:webHidden/>
                <w:sz w:val="20"/>
                <w:szCs w:val="20"/>
              </w:rPr>
              <w:tab/>
            </w:r>
            <w:r w:rsidR="00F20E49" w:rsidRPr="00F20E49">
              <w:rPr>
                <w:noProof/>
                <w:webHidden/>
                <w:sz w:val="20"/>
                <w:szCs w:val="20"/>
              </w:rPr>
              <w:fldChar w:fldCharType="begin"/>
            </w:r>
            <w:r w:rsidR="00F20E49" w:rsidRPr="00F20E49">
              <w:rPr>
                <w:noProof/>
                <w:webHidden/>
                <w:sz w:val="20"/>
                <w:szCs w:val="20"/>
              </w:rPr>
              <w:instrText xml:space="preserve"> PAGEREF _Toc90618555 \h </w:instrText>
            </w:r>
            <w:r w:rsidR="00F20E49" w:rsidRPr="00F20E49">
              <w:rPr>
                <w:noProof/>
                <w:webHidden/>
                <w:sz w:val="20"/>
                <w:szCs w:val="20"/>
              </w:rPr>
            </w:r>
            <w:r w:rsidR="00F20E49" w:rsidRPr="00F20E49">
              <w:rPr>
                <w:noProof/>
                <w:webHidden/>
                <w:sz w:val="20"/>
                <w:szCs w:val="20"/>
              </w:rPr>
              <w:fldChar w:fldCharType="separate"/>
            </w:r>
            <w:r w:rsidR="00D04FD9">
              <w:rPr>
                <w:noProof/>
                <w:webHidden/>
                <w:sz w:val="20"/>
                <w:szCs w:val="20"/>
              </w:rPr>
              <w:t>9</w:t>
            </w:r>
            <w:r w:rsidR="00F20E49" w:rsidRPr="00F20E49">
              <w:rPr>
                <w:noProof/>
                <w:webHidden/>
                <w:sz w:val="20"/>
                <w:szCs w:val="20"/>
              </w:rPr>
              <w:fldChar w:fldCharType="end"/>
            </w:r>
          </w:hyperlink>
        </w:p>
        <w:p w14:paraId="5868EF74" w14:textId="7A15A79C" w:rsidR="00F20E49" w:rsidRPr="00F20E49" w:rsidRDefault="00C97DF0">
          <w:pPr>
            <w:pStyle w:val="TOC2"/>
            <w:tabs>
              <w:tab w:val="right" w:leader="dot" w:pos="9350"/>
            </w:tabs>
            <w:rPr>
              <w:rFonts w:eastAsiaTheme="minorEastAsia"/>
              <w:noProof/>
              <w:sz w:val="20"/>
              <w:szCs w:val="20"/>
            </w:rPr>
          </w:pPr>
          <w:hyperlink w:anchor="_Toc90618556" w:history="1">
            <w:r w:rsidR="00F20E49" w:rsidRPr="00F20E49">
              <w:rPr>
                <w:rStyle w:val="Hyperlink"/>
                <w:noProof/>
                <w:sz w:val="20"/>
                <w:szCs w:val="20"/>
              </w:rPr>
              <w:t>4.2 Impact and Impact /Process Evaluations (2210-2219)</w:t>
            </w:r>
            <w:r w:rsidR="00F20E49" w:rsidRPr="00F20E49">
              <w:rPr>
                <w:noProof/>
                <w:webHidden/>
                <w:sz w:val="20"/>
                <w:szCs w:val="20"/>
              </w:rPr>
              <w:tab/>
            </w:r>
            <w:r w:rsidR="00F20E49" w:rsidRPr="00F20E49">
              <w:rPr>
                <w:noProof/>
                <w:webHidden/>
                <w:sz w:val="20"/>
                <w:szCs w:val="20"/>
              </w:rPr>
              <w:fldChar w:fldCharType="begin"/>
            </w:r>
            <w:r w:rsidR="00F20E49" w:rsidRPr="00F20E49">
              <w:rPr>
                <w:noProof/>
                <w:webHidden/>
                <w:sz w:val="20"/>
                <w:szCs w:val="20"/>
              </w:rPr>
              <w:instrText xml:space="preserve"> PAGEREF _Toc90618556 \h </w:instrText>
            </w:r>
            <w:r w:rsidR="00F20E49" w:rsidRPr="00F20E49">
              <w:rPr>
                <w:noProof/>
                <w:webHidden/>
                <w:sz w:val="20"/>
                <w:szCs w:val="20"/>
              </w:rPr>
            </w:r>
            <w:r w:rsidR="00F20E49" w:rsidRPr="00F20E49">
              <w:rPr>
                <w:noProof/>
                <w:webHidden/>
                <w:sz w:val="20"/>
                <w:szCs w:val="20"/>
              </w:rPr>
              <w:fldChar w:fldCharType="separate"/>
            </w:r>
            <w:r w:rsidR="00D04FD9">
              <w:rPr>
                <w:noProof/>
                <w:webHidden/>
                <w:sz w:val="20"/>
                <w:szCs w:val="20"/>
              </w:rPr>
              <w:t>12</w:t>
            </w:r>
            <w:r w:rsidR="00F20E49" w:rsidRPr="00F20E49">
              <w:rPr>
                <w:noProof/>
                <w:webHidden/>
                <w:sz w:val="20"/>
                <w:szCs w:val="20"/>
              </w:rPr>
              <w:fldChar w:fldCharType="end"/>
            </w:r>
          </w:hyperlink>
        </w:p>
        <w:p w14:paraId="4CB71353" w14:textId="4CA01CB7" w:rsidR="00F20E49" w:rsidRPr="00F20E49" w:rsidRDefault="00C97DF0">
          <w:pPr>
            <w:pStyle w:val="TOC2"/>
            <w:tabs>
              <w:tab w:val="right" w:leader="dot" w:pos="9350"/>
            </w:tabs>
            <w:rPr>
              <w:rFonts w:eastAsiaTheme="minorEastAsia"/>
              <w:noProof/>
              <w:sz w:val="20"/>
              <w:szCs w:val="20"/>
            </w:rPr>
          </w:pPr>
          <w:hyperlink w:anchor="_Toc90618557" w:history="1">
            <w:r w:rsidR="00F20E49" w:rsidRPr="00F20E49">
              <w:rPr>
                <w:rStyle w:val="Hyperlink"/>
                <w:noProof/>
                <w:sz w:val="20"/>
                <w:szCs w:val="20"/>
              </w:rPr>
              <w:t>4.3 Process Evaluations (2220-2224)</w:t>
            </w:r>
            <w:r w:rsidR="00F20E49" w:rsidRPr="00F20E49">
              <w:rPr>
                <w:noProof/>
                <w:webHidden/>
                <w:sz w:val="20"/>
                <w:szCs w:val="20"/>
              </w:rPr>
              <w:tab/>
            </w:r>
            <w:r w:rsidR="00F20E49" w:rsidRPr="00F20E49">
              <w:rPr>
                <w:noProof/>
                <w:webHidden/>
                <w:sz w:val="20"/>
                <w:szCs w:val="20"/>
              </w:rPr>
              <w:fldChar w:fldCharType="begin"/>
            </w:r>
            <w:r w:rsidR="00F20E49" w:rsidRPr="00F20E49">
              <w:rPr>
                <w:noProof/>
                <w:webHidden/>
                <w:sz w:val="20"/>
                <w:szCs w:val="20"/>
              </w:rPr>
              <w:instrText xml:space="preserve"> PAGEREF _Toc90618557 \h </w:instrText>
            </w:r>
            <w:r w:rsidR="00F20E49" w:rsidRPr="00F20E49">
              <w:rPr>
                <w:noProof/>
                <w:webHidden/>
                <w:sz w:val="20"/>
                <w:szCs w:val="20"/>
              </w:rPr>
            </w:r>
            <w:r w:rsidR="00F20E49" w:rsidRPr="00F20E49">
              <w:rPr>
                <w:noProof/>
                <w:webHidden/>
                <w:sz w:val="20"/>
                <w:szCs w:val="20"/>
              </w:rPr>
              <w:fldChar w:fldCharType="separate"/>
            </w:r>
            <w:r w:rsidR="00D04FD9">
              <w:rPr>
                <w:noProof/>
                <w:webHidden/>
                <w:sz w:val="20"/>
                <w:szCs w:val="20"/>
              </w:rPr>
              <w:t>15</w:t>
            </w:r>
            <w:r w:rsidR="00F20E49" w:rsidRPr="00F20E49">
              <w:rPr>
                <w:noProof/>
                <w:webHidden/>
                <w:sz w:val="20"/>
                <w:szCs w:val="20"/>
              </w:rPr>
              <w:fldChar w:fldCharType="end"/>
            </w:r>
          </w:hyperlink>
        </w:p>
        <w:p w14:paraId="266D3D5B" w14:textId="388B826A" w:rsidR="00F20E49" w:rsidRPr="00F20E49" w:rsidRDefault="00C97DF0">
          <w:pPr>
            <w:pStyle w:val="TOC2"/>
            <w:tabs>
              <w:tab w:val="right" w:leader="dot" w:pos="9350"/>
            </w:tabs>
            <w:rPr>
              <w:rFonts w:eastAsiaTheme="minorEastAsia"/>
              <w:noProof/>
              <w:sz w:val="20"/>
              <w:szCs w:val="20"/>
            </w:rPr>
          </w:pPr>
          <w:hyperlink w:anchor="_Toc90618558" w:history="1">
            <w:r w:rsidR="00F20E49" w:rsidRPr="00F20E49">
              <w:rPr>
                <w:rStyle w:val="Hyperlink"/>
                <w:noProof/>
                <w:sz w:val="20"/>
                <w:szCs w:val="20"/>
              </w:rPr>
              <w:t>4.4 PSD Studies (2225-2229)</w:t>
            </w:r>
            <w:r w:rsidR="00F20E49" w:rsidRPr="00F20E49">
              <w:rPr>
                <w:noProof/>
                <w:webHidden/>
                <w:sz w:val="20"/>
                <w:szCs w:val="20"/>
              </w:rPr>
              <w:tab/>
            </w:r>
            <w:r w:rsidR="00F20E49" w:rsidRPr="00F20E49">
              <w:rPr>
                <w:noProof/>
                <w:webHidden/>
                <w:sz w:val="20"/>
                <w:szCs w:val="20"/>
              </w:rPr>
              <w:fldChar w:fldCharType="begin"/>
            </w:r>
            <w:r w:rsidR="00F20E49" w:rsidRPr="00F20E49">
              <w:rPr>
                <w:noProof/>
                <w:webHidden/>
                <w:sz w:val="20"/>
                <w:szCs w:val="20"/>
              </w:rPr>
              <w:instrText xml:space="preserve"> PAGEREF _Toc90618558 \h </w:instrText>
            </w:r>
            <w:r w:rsidR="00F20E49" w:rsidRPr="00F20E49">
              <w:rPr>
                <w:noProof/>
                <w:webHidden/>
                <w:sz w:val="20"/>
                <w:szCs w:val="20"/>
              </w:rPr>
            </w:r>
            <w:r w:rsidR="00F20E49" w:rsidRPr="00F20E49">
              <w:rPr>
                <w:noProof/>
                <w:webHidden/>
                <w:sz w:val="20"/>
                <w:szCs w:val="20"/>
              </w:rPr>
              <w:fldChar w:fldCharType="separate"/>
            </w:r>
            <w:r w:rsidR="00D04FD9">
              <w:rPr>
                <w:noProof/>
                <w:webHidden/>
                <w:sz w:val="20"/>
                <w:szCs w:val="20"/>
              </w:rPr>
              <w:t>16</w:t>
            </w:r>
            <w:r w:rsidR="00F20E49" w:rsidRPr="00F20E49">
              <w:rPr>
                <w:noProof/>
                <w:webHidden/>
                <w:sz w:val="20"/>
                <w:szCs w:val="20"/>
              </w:rPr>
              <w:fldChar w:fldCharType="end"/>
            </w:r>
          </w:hyperlink>
        </w:p>
        <w:p w14:paraId="47D79C9B" w14:textId="1A406E27" w:rsidR="00F20E49" w:rsidRPr="00F20E49" w:rsidRDefault="00C97DF0">
          <w:pPr>
            <w:pStyle w:val="TOC2"/>
            <w:tabs>
              <w:tab w:val="right" w:leader="dot" w:pos="9350"/>
            </w:tabs>
            <w:rPr>
              <w:rFonts w:eastAsiaTheme="minorEastAsia"/>
              <w:noProof/>
              <w:sz w:val="20"/>
              <w:szCs w:val="20"/>
            </w:rPr>
          </w:pPr>
          <w:hyperlink w:anchor="_Toc90618559" w:history="1">
            <w:r w:rsidR="00F20E49" w:rsidRPr="00F20E49">
              <w:rPr>
                <w:rStyle w:val="Hyperlink"/>
                <w:noProof/>
                <w:sz w:val="20"/>
                <w:szCs w:val="20"/>
              </w:rPr>
              <w:t>4.5 Topic Studies (2230-2246)</w:t>
            </w:r>
            <w:r w:rsidR="00F20E49" w:rsidRPr="00F20E49">
              <w:rPr>
                <w:noProof/>
                <w:webHidden/>
                <w:sz w:val="20"/>
                <w:szCs w:val="20"/>
              </w:rPr>
              <w:tab/>
            </w:r>
            <w:r w:rsidR="00F20E49" w:rsidRPr="00F20E49">
              <w:rPr>
                <w:noProof/>
                <w:webHidden/>
                <w:sz w:val="20"/>
                <w:szCs w:val="20"/>
              </w:rPr>
              <w:fldChar w:fldCharType="begin"/>
            </w:r>
            <w:r w:rsidR="00F20E49" w:rsidRPr="00F20E49">
              <w:rPr>
                <w:noProof/>
                <w:webHidden/>
                <w:sz w:val="20"/>
                <w:szCs w:val="20"/>
              </w:rPr>
              <w:instrText xml:space="preserve"> PAGEREF _Toc90618559 \h </w:instrText>
            </w:r>
            <w:r w:rsidR="00F20E49" w:rsidRPr="00F20E49">
              <w:rPr>
                <w:noProof/>
                <w:webHidden/>
                <w:sz w:val="20"/>
                <w:szCs w:val="20"/>
              </w:rPr>
            </w:r>
            <w:r w:rsidR="00F20E49" w:rsidRPr="00F20E49">
              <w:rPr>
                <w:noProof/>
                <w:webHidden/>
                <w:sz w:val="20"/>
                <w:szCs w:val="20"/>
              </w:rPr>
              <w:fldChar w:fldCharType="separate"/>
            </w:r>
            <w:r w:rsidR="00D04FD9">
              <w:rPr>
                <w:noProof/>
                <w:webHidden/>
                <w:sz w:val="20"/>
                <w:szCs w:val="20"/>
              </w:rPr>
              <w:t>18</w:t>
            </w:r>
            <w:r w:rsidR="00F20E49" w:rsidRPr="00F20E49">
              <w:rPr>
                <w:noProof/>
                <w:webHidden/>
                <w:sz w:val="20"/>
                <w:szCs w:val="20"/>
              </w:rPr>
              <w:fldChar w:fldCharType="end"/>
            </w:r>
          </w:hyperlink>
        </w:p>
        <w:p w14:paraId="610F53BA" w14:textId="359FCA44" w:rsidR="002C7EA7" w:rsidRPr="00F20E49" w:rsidRDefault="00332D97" w:rsidP="00F20E49">
          <w:pPr>
            <w:tabs>
              <w:tab w:val="left" w:pos="1935"/>
            </w:tabs>
            <w:rPr>
              <w:noProof/>
              <w:sz w:val="20"/>
              <w:szCs w:val="20"/>
            </w:rPr>
          </w:pPr>
          <w:r w:rsidRPr="00F20E49">
            <w:rPr>
              <w:noProof/>
              <w:sz w:val="20"/>
              <w:szCs w:val="20"/>
            </w:rPr>
            <w:fldChar w:fldCharType="end"/>
          </w:r>
          <w:r w:rsidR="00F20E49" w:rsidRPr="00F20E49">
            <w:rPr>
              <w:noProof/>
              <w:sz w:val="20"/>
              <w:szCs w:val="20"/>
            </w:rPr>
            <w:tab/>
          </w:r>
        </w:p>
        <w:p w14:paraId="240BF17F" w14:textId="77777777" w:rsidR="002C7EA7" w:rsidRDefault="00C97DF0" w:rsidP="00735E22"/>
      </w:sdtContent>
    </w:sdt>
    <w:p w14:paraId="793C5054" w14:textId="77777777" w:rsidR="002C7EA7" w:rsidRDefault="002C7EA7" w:rsidP="00B33D80">
      <w:pPr>
        <w:spacing w:after="0"/>
      </w:pPr>
    </w:p>
    <w:p w14:paraId="19E29364" w14:textId="77777777" w:rsidR="002C7EA7" w:rsidRDefault="002C7EA7" w:rsidP="00B33D80">
      <w:pPr>
        <w:spacing w:after="0"/>
      </w:pPr>
    </w:p>
    <w:p w14:paraId="243D13F5" w14:textId="77777777" w:rsidR="00C825D3" w:rsidRDefault="00C825D3" w:rsidP="00B33D80">
      <w:pPr>
        <w:spacing w:after="0"/>
      </w:pPr>
    </w:p>
    <w:p w14:paraId="5633736C" w14:textId="77777777" w:rsidR="002C7EA7" w:rsidRDefault="002C7EA7" w:rsidP="00B33D80">
      <w:pPr>
        <w:spacing w:after="0"/>
        <w:sectPr w:rsidR="002C7EA7" w:rsidSect="002C7EA7">
          <w:footerReference w:type="default" r:id="rId9"/>
          <w:pgSz w:w="12240" w:h="15840"/>
          <w:pgMar w:top="1440" w:right="1440" w:bottom="1440" w:left="1440" w:header="720" w:footer="720" w:gutter="0"/>
          <w:pgNumType w:fmt="lowerRoman" w:start="1"/>
          <w:cols w:space="720"/>
          <w:docGrid w:linePitch="360"/>
        </w:sectPr>
      </w:pPr>
    </w:p>
    <w:p w14:paraId="7D473B26" w14:textId="41057866" w:rsidR="007B038E" w:rsidRPr="00106069" w:rsidRDefault="007B038E" w:rsidP="007B038E">
      <w:pPr>
        <w:pBdr>
          <w:bottom w:val="single" w:sz="4" w:space="1" w:color="auto"/>
        </w:pBdr>
        <w:spacing w:after="0"/>
        <w:rPr>
          <w:b/>
          <w:sz w:val="32"/>
        </w:rPr>
      </w:pPr>
      <w:r w:rsidRPr="00106069">
        <w:rPr>
          <w:b/>
          <w:sz w:val="32"/>
        </w:rPr>
        <w:t xml:space="preserve">CT EEB </w:t>
      </w:r>
      <w:r w:rsidR="00C94747">
        <w:rPr>
          <w:b/>
          <w:sz w:val="32"/>
        </w:rPr>
        <w:t>2022-24</w:t>
      </w:r>
      <w:r w:rsidRPr="00106069">
        <w:rPr>
          <w:b/>
          <w:sz w:val="32"/>
        </w:rPr>
        <w:t xml:space="preserve"> </w:t>
      </w:r>
      <w:r>
        <w:rPr>
          <w:b/>
          <w:sz w:val="32"/>
        </w:rPr>
        <w:t xml:space="preserve">THREE YEAR </w:t>
      </w:r>
      <w:r w:rsidRPr="00106069">
        <w:rPr>
          <w:b/>
          <w:sz w:val="32"/>
        </w:rPr>
        <w:t xml:space="preserve">EVALUATION </w:t>
      </w:r>
      <w:r>
        <w:rPr>
          <w:b/>
          <w:sz w:val="32"/>
        </w:rPr>
        <w:t xml:space="preserve">BUDGET AND </w:t>
      </w:r>
      <w:r w:rsidRPr="00106069">
        <w:rPr>
          <w:b/>
          <w:sz w:val="32"/>
        </w:rPr>
        <w:t>PLAN</w:t>
      </w:r>
      <w:r>
        <w:rPr>
          <w:b/>
          <w:sz w:val="32"/>
        </w:rPr>
        <w:t xml:space="preserve"> – ABSTRACT</w:t>
      </w:r>
      <w:r w:rsidRPr="00106069">
        <w:rPr>
          <w:b/>
          <w:sz w:val="32"/>
        </w:rPr>
        <w:t xml:space="preserve"> </w:t>
      </w:r>
    </w:p>
    <w:p w14:paraId="4E36F3CC" w14:textId="765EC41E" w:rsidR="007B038E" w:rsidRDefault="007B038E" w:rsidP="0013709B">
      <w:pPr>
        <w:pStyle w:val="Heading1"/>
      </w:pPr>
      <w:bookmarkStart w:id="0" w:name="_Toc90618547"/>
      <w:r>
        <w:t>Abstract</w:t>
      </w:r>
      <w:bookmarkEnd w:id="0"/>
    </w:p>
    <w:p w14:paraId="67815C64" w14:textId="77777777" w:rsidR="0013709B" w:rsidRPr="0013709B" w:rsidRDefault="0013709B" w:rsidP="00EE2B04">
      <w:pPr>
        <w:rPr>
          <w:i/>
        </w:rPr>
      </w:pPr>
    </w:p>
    <w:p w14:paraId="5B79E2C6" w14:textId="226A6A6B" w:rsidR="00D47EC5" w:rsidRPr="0013709B" w:rsidRDefault="007B038E" w:rsidP="00EE2B04">
      <w:pPr>
        <w:rPr>
          <w:i/>
        </w:rPr>
      </w:pPr>
      <w:bookmarkStart w:id="1" w:name="_Hlk92435297"/>
      <w:r w:rsidRPr="0013709B">
        <w:rPr>
          <w:i/>
        </w:rPr>
        <w:t>As a result of a</w:t>
      </w:r>
      <w:r w:rsidR="00D47EC5" w:rsidRPr="0013709B">
        <w:rPr>
          <w:i/>
        </w:rPr>
        <w:t xml:space="preserve">n extensive </w:t>
      </w:r>
      <w:r w:rsidRPr="0013709B">
        <w:rPr>
          <w:i/>
        </w:rPr>
        <w:t>project needs</w:t>
      </w:r>
      <w:r w:rsidR="00D47EC5" w:rsidRPr="0013709B">
        <w:rPr>
          <w:i/>
        </w:rPr>
        <w:t xml:space="preserve">, development, and prioritization assessment, conducted with the input of all CT evaluation stakeholders, </w:t>
      </w:r>
      <w:r w:rsidRPr="0013709B">
        <w:rPr>
          <w:i/>
        </w:rPr>
        <w:t xml:space="preserve">the Evaluation Administrator Team (EA Team) is pleased to submit this recommended budget and supporting Evaluation Projects for the </w:t>
      </w:r>
      <w:r w:rsidR="00C94747" w:rsidRPr="0013709B">
        <w:rPr>
          <w:i/>
        </w:rPr>
        <w:t>2022-24</w:t>
      </w:r>
      <w:r w:rsidRPr="0013709B">
        <w:rPr>
          <w:i/>
        </w:rPr>
        <w:t xml:space="preserve"> Cycle.  </w:t>
      </w:r>
      <w:r w:rsidR="009E7555" w:rsidRPr="0013709B">
        <w:rPr>
          <w:i/>
        </w:rPr>
        <w:t xml:space="preserve">The projects were discussed with stakeholders in an open and collaborative manner, with multiple opportunities for input and feedback.  </w:t>
      </w:r>
    </w:p>
    <w:p w14:paraId="0E415B3F" w14:textId="6058CE2E" w:rsidR="00301EFF" w:rsidRDefault="0020129E" w:rsidP="0020129E">
      <w:pPr>
        <w:rPr>
          <w:i/>
        </w:rPr>
      </w:pPr>
      <w:r w:rsidRPr="0013709B">
        <w:rPr>
          <w:i/>
        </w:rPr>
        <w:t>The re</w:t>
      </w:r>
      <w:r w:rsidR="00301EFF">
        <w:rPr>
          <w:i/>
        </w:rPr>
        <w:t>commended</w:t>
      </w:r>
      <w:r w:rsidRPr="0013709B">
        <w:rPr>
          <w:i/>
        </w:rPr>
        <w:t xml:space="preserve"> evaluation budget is $14.775 million over the Three-Year period</w:t>
      </w:r>
      <w:r w:rsidR="00301EFF">
        <w:rPr>
          <w:i/>
        </w:rPr>
        <w:t xml:space="preserve">, which is 9% </w:t>
      </w:r>
      <w:r w:rsidR="00CA1BB6">
        <w:rPr>
          <w:i/>
        </w:rPr>
        <w:t xml:space="preserve">($1.275M) </w:t>
      </w:r>
      <w:r w:rsidR="00301EFF">
        <w:rPr>
          <w:i/>
        </w:rPr>
        <w:t>more than the budget included in the October 2021 C&amp;LM Plan</w:t>
      </w:r>
      <w:r w:rsidR="00561F84">
        <w:rPr>
          <w:i/>
        </w:rPr>
        <w:t>, which</w:t>
      </w:r>
      <w:r w:rsidR="00301EFF">
        <w:rPr>
          <w:i/>
        </w:rPr>
        <w:t xml:space="preserve"> is $13.5 million.  </w:t>
      </w:r>
      <w:r w:rsidR="009C4863">
        <w:rPr>
          <w:i/>
        </w:rPr>
        <w:t xml:space="preserve">The evaluation committee discussed specific projects, and made some modifications, but the list and associated budget included in this document was accepted by the Committee. </w:t>
      </w:r>
      <w:r w:rsidRPr="0013709B">
        <w:rPr>
          <w:i/>
        </w:rPr>
        <w:t xml:space="preserve"> </w:t>
      </w:r>
      <w:r w:rsidR="00CA1BB6" w:rsidRPr="0032557E">
        <w:rPr>
          <w:i/>
          <w:highlight w:val="yellow"/>
        </w:rPr>
        <w:t xml:space="preserve">The EA Budget for the Three-year period is 6.5% ($87K) more than in the adopted C&amp;LM plan.  The </w:t>
      </w:r>
      <w:r w:rsidR="008306C8" w:rsidRPr="0032557E">
        <w:rPr>
          <w:i/>
          <w:highlight w:val="yellow"/>
        </w:rPr>
        <w:t>total budget in excess of the adopted C&amp;LM Plan represents 0.2% of the C&amp;LM budget.</w:t>
      </w:r>
      <w:r w:rsidR="008306C8">
        <w:rPr>
          <w:i/>
        </w:rPr>
        <w:t xml:space="preserve">  </w:t>
      </w:r>
      <w:r w:rsidR="00162682">
        <w:rPr>
          <w:i/>
        </w:rPr>
        <w:t>The budgets for both the Evaluation Plan studies and the EA Oversight budget are shown in Figure A.1.</w:t>
      </w:r>
      <w:r w:rsidR="00CA1BB6">
        <w:rPr>
          <w:i/>
        </w:rPr>
        <w:t xml:space="preserve">  </w:t>
      </w:r>
    </w:p>
    <w:p w14:paraId="05EF7172" w14:textId="4783849B" w:rsidR="00301EFF" w:rsidRPr="00432997" w:rsidRDefault="00301EFF" w:rsidP="00301EFF">
      <w:pPr>
        <w:spacing w:after="0" w:line="240" w:lineRule="auto"/>
        <w:rPr>
          <w:b/>
          <w:bCs/>
        </w:rPr>
      </w:pPr>
      <w:bookmarkStart w:id="2" w:name="_Hlk92436245"/>
      <w:r w:rsidRPr="00432997">
        <w:rPr>
          <w:b/>
          <w:bCs/>
        </w:rPr>
        <w:t xml:space="preserve">Figure </w:t>
      </w:r>
      <w:r>
        <w:rPr>
          <w:b/>
          <w:bCs/>
        </w:rPr>
        <w:t>A.</w:t>
      </w:r>
      <w:r w:rsidRPr="00432997">
        <w:rPr>
          <w:b/>
          <w:bCs/>
        </w:rPr>
        <w:t>1:  Three-</w:t>
      </w:r>
      <w:r>
        <w:rPr>
          <w:b/>
          <w:bCs/>
        </w:rPr>
        <w:t>Y</w:t>
      </w:r>
      <w:r w:rsidRPr="00432997">
        <w:rPr>
          <w:b/>
          <w:bCs/>
        </w:rPr>
        <w:t>ear Eval</w:t>
      </w:r>
      <w:r>
        <w:rPr>
          <w:b/>
          <w:bCs/>
        </w:rPr>
        <w:t>u</w:t>
      </w:r>
      <w:r w:rsidRPr="00432997">
        <w:rPr>
          <w:b/>
          <w:bCs/>
        </w:rPr>
        <w:t>ation Plan Budget</w:t>
      </w:r>
    </w:p>
    <w:tbl>
      <w:tblPr>
        <w:tblW w:w="5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1080"/>
        <w:gridCol w:w="1170"/>
        <w:gridCol w:w="1170"/>
      </w:tblGrid>
      <w:tr w:rsidR="00162682" w:rsidRPr="00095E90" w14:paraId="1BB85816" w14:textId="77777777" w:rsidTr="00162682">
        <w:trPr>
          <w:trHeight w:val="370"/>
        </w:trPr>
        <w:tc>
          <w:tcPr>
            <w:tcW w:w="2245" w:type="dxa"/>
            <w:shd w:val="clear" w:color="auto" w:fill="D9E2F3" w:themeFill="accent5" w:themeFillTint="33"/>
            <w:vAlign w:val="bottom"/>
          </w:tcPr>
          <w:p w14:paraId="1FA8CCC1" w14:textId="7BBF08F8" w:rsidR="00162682" w:rsidRPr="00095E90" w:rsidRDefault="00162682" w:rsidP="00162682">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Budget Entry</w:t>
            </w:r>
          </w:p>
        </w:tc>
        <w:tc>
          <w:tcPr>
            <w:tcW w:w="1080" w:type="dxa"/>
            <w:shd w:val="clear" w:color="auto" w:fill="D9E2F3" w:themeFill="accent5" w:themeFillTint="33"/>
            <w:noWrap/>
            <w:vAlign w:val="bottom"/>
            <w:hideMark/>
          </w:tcPr>
          <w:p w14:paraId="4DDFCC99" w14:textId="272A5FC5" w:rsidR="00162682" w:rsidRPr="00095E90" w:rsidRDefault="00162682" w:rsidP="00162682">
            <w:pPr>
              <w:spacing w:after="0" w:line="240" w:lineRule="auto"/>
              <w:jc w:val="center"/>
              <w:rPr>
                <w:rFonts w:ascii="Calibri" w:eastAsia="Times New Roman" w:hAnsi="Calibri" w:cs="Calibri"/>
                <w:color w:val="000000"/>
                <w:sz w:val="20"/>
                <w:szCs w:val="20"/>
              </w:rPr>
            </w:pPr>
            <w:r w:rsidRPr="00095E90">
              <w:rPr>
                <w:rFonts w:ascii="Calibri" w:eastAsia="Times New Roman" w:hAnsi="Calibri" w:cs="Calibri"/>
                <w:color w:val="000000"/>
                <w:sz w:val="20"/>
                <w:szCs w:val="20"/>
              </w:rPr>
              <w:t>Year 2022</w:t>
            </w:r>
          </w:p>
        </w:tc>
        <w:tc>
          <w:tcPr>
            <w:tcW w:w="1170" w:type="dxa"/>
            <w:shd w:val="clear" w:color="auto" w:fill="D9E2F3" w:themeFill="accent5" w:themeFillTint="33"/>
            <w:noWrap/>
            <w:vAlign w:val="bottom"/>
            <w:hideMark/>
          </w:tcPr>
          <w:p w14:paraId="1DB8ED8A" w14:textId="77777777" w:rsidR="00162682" w:rsidRPr="00095E90" w:rsidRDefault="00162682" w:rsidP="00162682">
            <w:pPr>
              <w:spacing w:after="0" w:line="240" w:lineRule="auto"/>
              <w:jc w:val="center"/>
              <w:rPr>
                <w:rFonts w:ascii="Calibri" w:eastAsia="Times New Roman" w:hAnsi="Calibri" w:cs="Calibri"/>
                <w:color w:val="000000"/>
                <w:sz w:val="20"/>
                <w:szCs w:val="20"/>
              </w:rPr>
            </w:pPr>
            <w:r w:rsidRPr="00095E90">
              <w:rPr>
                <w:rFonts w:ascii="Calibri" w:eastAsia="Times New Roman" w:hAnsi="Calibri" w:cs="Calibri"/>
                <w:color w:val="000000"/>
                <w:sz w:val="20"/>
                <w:szCs w:val="20"/>
              </w:rPr>
              <w:t>Year 2023</w:t>
            </w:r>
          </w:p>
        </w:tc>
        <w:tc>
          <w:tcPr>
            <w:tcW w:w="1170" w:type="dxa"/>
            <w:shd w:val="clear" w:color="auto" w:fill="D9E2F3" w:themeFill="accent5" w:themeFillTint="33"/>
            <w:noWrap/>
            <w:vAlign w:val="bottom"/>
            <w:hideMark/>
          </w:tcPr>
          <w:p w14:paraId="5A7D8672" w14:textId="77777777" w:rsidR="00162682" w:rsidRPr="00095E90" w:rsidRDefault="00162682" w:rsidP="00162682">
            <w:pPr>
              <w:spacing w:after="0" w:line="240" w:lineRule="auto"/>
              <w:jc w:val="center"/>
              <w:rPr>
                <w:rFonts w:ascii="Calibri" w:eastAsia="Times New Roman" w:hAnsi="Calibri" w:cs="Calibri"/>
                <w:color w:val="000000"/>
                <w:sz w:val="20"/>
                <w:szCs w:val="20"/>
              </w:rPr>
            </w:pPr>
            <w:r w:rsidRPr="00095E90">
              <w:rPr>
                <w:rFonts w:ascii="Calibri" w:eastAsia="Times New Roman" w:hAnsi="Calibri" w:cs="Calibri"/>
                <w:color w:val="000000"/>
                <w:sz w:val="20"/>
                <w:szCs w:val="20"/>
              </w:rPr>
              <w:t>Year 2024</w:t>
            </w:r>
          </w:p>
        </w:tc>
      </w:tr>
      <w:tr w:rsidR="00162682" w:rsidRPr="00095E90" w14:paraId="1CBE1A0E" w14:textId="77777777" w:rsidTr="00162682">
        <w:trPr>
          <w:trHeight w:val="270"/>
        </w:trPr>
        <w:tc>
          <w:tcPr>
            <w:tcW w:w="2245" w:type="dxa"/>
            <w:vAlign w:val="bottom"/>
          </w:tcPr>
          <w:p w14:paraId="56AF8E21" w14:textId="4ACE861C" w:rsidR="00162682" w:rsidRPr="00095E90" w:rsidRDefault="00162682" w:rsidP="00162682">
            <w:pPr>
              <w:rPr>
                <w:rFonts w:ascii="Calibri" w:eastAsia="Times New Roman" w:hAnsi="Calibri" w:cs="Calibri"/>
                <w:color w:val="000000"/>
                <w:sz w:val="20"/>
                <w:szCs w:val="20"/>
              </w:rPr>
            </w:pPr>
            <w:r>
              <w:rPr>
                <w:rFonts w:ascii="Calibri" w:eastAsia="Times New Roman" w:hAnsi="Calibri" w:cs="Calibri"/>
                <w:color w:val="000000"/>
                <w:sz w:val="20"/>
                <w:szCs w:val="20"/>
              </w:rPr>
              <w:t>Evaluation Plan / Studies</w:t>
            </w:r>
          </w:p>
        </w:tc>
        <w:tc>
          <w:tcPr>
            <w:tcW w:w="1080" w:type="dxa"/>
            <w:shd w:val="clear" w:color="auto" w:fill="auto"/>
            <w:noWrap/>
            <w:vAlign w:val="bottom"/>
            <w:hideMark/>
          </w:tcPr>
          <w:p w14:paraId="0A1800B0" w14:textId="6FEE3C6D" w:rsidR="00162682" w:rsidRPr="00095E90" w:rsidRDefault="00162682" w:rsidP="00162682">
            <w:pPr>
              <w:jc w:val="center"/>
              <w:rPr>
                <w:rFonts w:ascii="Calibri" w:eastAsia="Times New Roman" w:hAnsi="Calibri" w:cs="Calibri"/>
                <w:color w:val="000000"/>
                <w:sz w:val="20"/>
                <w:szCs w:val="20"/>
              </w:rPr>
            </w:pPr>
            <w:r w:rsidRPr="00095E90">
              <w:rPr>
                <w:rFonts w:ascii="Calibri" w:eastAsia="Times New Roman" w:hAnsi="Calibri" w:cs="Calibri"/>
                <w:color w:val="000000"/>
                <w:sz w:val="20"/>
                <w:szCs w:val="20"/>
              </w:rPr>
              <w:t>$4,500</w:t>
            </w:r>
            <w:r w:rsidR="00CC4DB1">
              <w:rPr>
                <w:rFonts w:ascii="Calibri" w:eastAsia="Times New Roman" w:hAnsi="Calibri" w:cs="Calibri"/>
                <w:color w:val="000000"/>
                <w:sz w:val="20"/>
                <w:szCs w:val="20"/>
              </w:rPr>
              <w:t>K</w:t>
            </w:r>
          </w:p>
        </w:tc>
        <w:tc>
          <w:tcPr>
            <w:tcW w:w="1170" w:type="dxa"/>
            <w:shd w:val="clear" w:color="auto" w:fill="auto"/>
            <w:noWrap/>
            <w:vAlign w:val="bottom"/>
            <w:hideMark/>
          </w:tcPr>
          <w:p w14:paraId="55DF185C" w14:textId="2191070E" w:rsidR="00162682" w:rsidRPr="00095E90" w:rsidRDefault="00162682" w:rsidP="00162682">
            <w:pPr>
              <w:jc w:val="center"/>
              <w:rPr>
                <w:rFonts w:ascii="Calibri" w:eastAsia="Times New Roman" w:hAnsi="Calibri" w:cs="Calibri"/>
                <w:color w:val="000000"/>
                <w:sz w:val="20"/>
                <w:szCs w:val="20"/>
              </w:rPr>
            </w:pPr>
            <w:r w:rsidRPr="00095E90">
              <w:rPr>
                <w:rFonts w:ascii="Calibri" w:eastAsia="Times New Roman" w:hAnsi="Calibri" w:cs="Calibri"/>
                <w:color w:val="000000"/>
                <w:sz w:val="20"/>
                <w:szCs w:val="20"/>
              </w:rPr>
              <w:t>$4,500</w:t>
            </w:r>
            <w:r w:rsidR="00CC4DB1">
              <w:rPr>
                <w:rFonts w:ascii="Calibri" w:eastAsia="Times New Roman" w:hAnsi="Calibri" w:cs="Calibri"/>
                <w:color w:val="000000"/>
                <w:sz w:val="20"/>
                <w:szCs w:val="20"/>
              </w:rPr>
              <w:t>K</w:t>
            </w:r>
          </w:p>
        </w:tc>
        <w:tc>
          <w:tcPr>
            <w:tcW w:w="1170" w:type="dxa"/>
            <w:shd w:val="clear" w:color="auto" w:fill="auto"/>
            <w:noWrap/>
            <w:vAlign w:val="bottom"/>
            <w:hideMark/>
          </w:tcPr>
          <w:p w14:paraId="6AB652A4" w14:textId="53C85576" w:rsidR="00162682" w:rsidRPr="00095E90" w:rsidRDefault="00162682" w:rsidP="00162682">
            <w:pPr>
              <w:jc w:val="center"/>
              <w:rPr>
                <w:rFonts w:ascii="Calibri" w:eastAsia="Times New Roman" w:hAnsi="Calibri" w:cs="Calibri"/>
                <w:color w:val="000000"/>
                <w:sz w:val="20"/>
                <w:szCs w:val="20"/>
              </w:rPr>
            </w:pPr>
            <w:r w:rsidRPr="00095E90">
              <w:rPr>
                <w:rFonts w:ascii="Calibri" w:eastAsia="Times New Roman" w:hAnsi="Calibri" w:cs="Calibri"/>
                <w:color w:val="000000"/>
                <w:sz w:val="20"/>
                <w:szCs w:val="20"/>
              </w:rPr>
              <w:t>$5,775</w:t>
            </w:r>
            <w:r w:rsidR="00CC4DB1">
              <w:rPr>
                <w:rFonts w:ascii="Calibri" w:eastAsia="Times New Roman" w:hAnsi="Calibri" w:cs="Calibri"/>
                <w:color w:val="000000"/>
                <w:sz w:val="20"/>
                <w:szCs w:val="20"/>
              </w:rPr>
              <w:t>K</w:t>
            </w:r>
          </w:p>
        </w:tc>
      </w:tr>
      <w:tr w:rsidR="00162682" w:rsidRPr="00095E90" w14:paraId="1203EB29" w14:textId="77777777" w:rsidTr="00162682">
        <w:trPr>
          <w:trHeight w:val="270"/>
        </w:trPr>
        <w:tc>
          <w:tcPr>
            <w:tcW w:w="2245" w:type="dxa"/>
            <w:vAlign w:val="bottom"/>
          </w:tcPr>
          <w:p w14:paraId="31B9DBF7" w14:textId="7678A882" w:rsidR="00162682" w:rsidRPr="00095E90" w:rsidRDefault="00162682" w:rsidP="00162682">
            <w:pPr>
              <w:rPr>
                <w:rFonts w:ascii="Calibri" w:eastAsia="Times New Roman" w:hAnsi="Calibri" w:cs="Calibri"/>
                <w:color w:val="000000"/>
                <w:sz w:val="20"/>
                <w:szCs w:val="20"/>
              </w:rPr>
            </w:pPr>
            <w:r>
              <w:rPr>
                <w:rFonts w:ascii="Calibri" w:eastAsia="Times New Roman" w:hAnsi="Calibri" w:cs="Calibri"/>
                <w:color w:val="000000"/>
                <w:sz w:val="20"/>
                <w:szCs w:val="20"/>
              </w:rPr>
              <w:t>EA Budget</w:t>
            </w:r>
          </w:p>
        </w:tc>
        <w:tc>
          <w:tcPr>
            <w:tcW w:w="1080" w:type="dxa"/>
            <w:shd w:val="clear" w:color="auto" w:fill="auto"/>
            <w:noWrap/>
            <w:vAlign w:val="bottom"/>
          </w:tcPr>
          <w:p w14:paraId="22D8458F" w14:textId="50CA06B5" w:rsidR="00162682" w:rsidRPr="00095E90" w:rsidRDefault="00CC4DB1" w:rsidP="00162682">
            <w:pPr>
              <w:jc w:val="center"/>
              <w:rPr>
                <w:rFonts w:ascii="Calibri" w:eastAsia="Times New Roman" w:hAnsi="Calibri" w:cs="Calibri"/>
                <w:color w:val="000000"/>
                <w:sz w:val="20"/>
                <w:szCs w:val="20"/>
              </w:rPr>
            </w:pPr>
            <w:r>
              <w:rPr>
                <w:rFonts w:ascii="Calibri" w:eastAsia="Times New Roman" w:hAnsi="Calibri" w:cs="Calibri"/>
                <w:color w:val="000000"/>
                <w:sz w:val="20"/>
                <w:szCs w:val="20"/>
              </w:rPr>
              <w:t>$444,110</w:t>
            </w:r>
          </w:p>
        </w:tc>
        <w:tc>
          <w:tcPr>
            <w:tcW w:w="1170" w:type="dxa"/>
            <w:shd w:val="clear" w:color="auto" w:fill="auto"/>
            <w:noWrap/>
            <w:vAlign w:val="bottom"/>
          </w:tcPr>
          <w:p w14:paraId="5DF14E4C" w14:textId="1EDABE8A" w:rsidR="00162682" w:rsidRPr="00095E90" w:rsidRDefault="00CC4DB1" w:rsidP="00162682">
            <w:pPr>
              <w:jc w:val="center"/>
              <w:rPr>
                <w:rFonts w:ascii="Calibri" w:eastAsia="Times New Roman" w:hAnsi="Calibri" w:cs="Calibri"/>
                <w:color w:val="000000"/>
                <w:sz w:val="20"/>
                <w:szCs w:val="20"/>
              </w:rPr>
            </w:pPr>
            <w:r>
              <w:rPr>
                <w:rFonts w:ascii="Calibri" w:eastAsia="Times New Roman" w:hAnsi="Calibri" w:cs="Calibri"/>
                <w:color w:val="000000"/>
                <w:sz w:val="20"/>
                <w:szCs w:val="20"/>
              </w:rPr>
              <w:t>$444,110</w:t>
            </w:r>
          </w:p>
        </w:tc>
        <w:tc>
          <w:tcPr>
            <w:tcW w:w="1170" w:type="dxa"/>
            <w:shd w:val="clear" w:color="auto" w:fill="auto"/>
            <w:noWrap/>
            <w:vAlign w:val="bottom"/>
          </w:tcPr>
          <w:p w14:paraId="0D55A12A" w14:textId="58E54E00" w:rsidR="00162682" w:rsidRPr="00095E90" w:rsidRDefault="00CC4DB1" w:rsidP="00162682">
            <w:pPr>
              <w:jc w:val="center"/>
              <w:rPr>
                <w:rFonts w:ascii="Calibri" w:eastAsia="Times New Roman" w:hAnsi="Calibri" w:cs="Calibri"/>
                <w:color w:val="000000"/>
                <w:sz w:val="20"/>
                <w:szCs w:val="20"/>
              </w:rPr>
            </w:pPr>
            <w:r>
              <w:rPr>
                <w:rFonts w:ascii="Calibri" w:eastAsia="Times New Roman" w:hAnsi="Calibri" w:cs="Calibri"/>
                <w:color w:val="000000"/>
                <w:sz w:val="20"/>
                <w:szCs w:val="20"/>
              </w:rPr>
              <w:t>$531,155</w:t>
            </w:r>
          </w:p>
        </w:tc>
      </w:tr>
      <w:bookmarkEnd w:id="2"/>
    </w:tbl>
    <w:p w14:paraId="09F9413A" w14:textId="77777777" w:rsidR="00CC4DB1" w:rsidRDefault="00CC4DB1" w:rsidP="00301EFF">
      <w:pPr>
        <w:spacing w:after="0"/>
        <w:rPr>
          <w:b/>
        </w:rPr>
      </w:pPr>
    </w:p>
    <w:p w14:paraId="7318EA48" w14:textId="71785C2E" w:rsidR="0020129E" w:rsidRPr="0013709B" w:rsidRDefault="0020129E" w:rsidP="0020129E">
      <w:pPr>
        <w:rPr>
          <w:i/>
        </w:rPr>
      </w:pPr>
      <w:r w:rsidRPr="0013709B">
        <w:rPr>
          <w:i/>
        </w:rPr>
        <w:t>The approved C&amp;LM plan budget present</w:t>
      </w:r>
      <w:r w:rsidR="00B930AC" w:rsidRPr="0013709B">
        <w:rPr>
          <w:i/>
        </w:rPr>
        <w:t>e</w:t>
      </w:r>
      <w:r w:rsidRPr="0013709B">
        <w:rPr>
          <w:i/>
        </w:rPr>
        <w:t xml:space="preserve">d in Table E.1 over the period is $706.6 million.  </w:t>
      </w:r>
      <w:r w:rsidR="00FD6E88" w:rsidRPr="0013709B">
        <w:rPr>
          <w:i/>
        </w:rPr>
        <w:t xml:space="preserve">The calculated percent allocated to EM&amp;V totals 2.1% over the three years, ramping up from 1.8% in 2022. </w:t>
      </w:r>
      <w:r w:rsidRPr="0013709B">
        <w:rPr>
          <w:i/>
        </w:rPr>
        <w:t xml:space="preserve"> This represents a substantial increase over the Evaluation allocation over previous years.  This was a deliberate change</w:t>
      </w:r>
      <w:r w:rsidR="008306C8">
        <w:rPr>
          <w:i/>
        </w:rPr>
        <w:t xml:space="preserve">, coming from </w:t>
      </w:r>
      <w:r w:rsidR="008306C8" w:rsidRPr="00D04FD9">
        <w:rPr>
          <w:i/>
          <w:highlight w:val="yellow"/>
        </w:rPr>
        <w:t>two main causes</w:t>
      </w:r>
      <w:r w:rsidR="008306C8">
        <w:rPr>
          <w:i/>
        </w:rPr>
        <w:t>.  First, energy efficiency in Connecticut is changing rapidly, and stakeholders expressed urgent needs for evaluation to add a focus on additional substantive, forward-looking topics</w:t>
      </w:r>
      <w:r w:rsidRPr="0013709B">
        <w:rPr>
          <w:i/>
        </w:rPr>
        <w:t xml:space="preserve">.  </w:t>
      </w:r>
      <w:r w:rsidR="008306C8">
        <w:rPr>
          <w:i/>
        </w:rPr>
        <w:t xml:space="preserve">In addition, </w:t>
      </w:r>
      <w:proofErr w:type="spellStart"/>
      <w:r w:rsidRPr="0013709B">
        <w:rPr>
          <w:i/>
        </w:rPr>
        <w:t>Esource</w:t>
      </w:r>
      <w:proofErr w:type="spellEnd"/>
      <w:r w:rsidRPr="0013709B">
        <w:rPr>
          <w:i/>
        </w:rPr>
        <w:t xml:space="preserve"> information indicates the national average for the percent of C&amp;LM Plan budgets allocated to evaluation is between 2-2.5%, with</w:t>
      </w:r>
      <w:r w:rsidR="00FD6E88" w:rsidRPr="0013709B">
        <w:rPr>
          <w:i/>
        </w:rPr>
        <w:t xml:space="preserve"> even</w:t>
      </w:r>
      <w:r w:rsidRPr="0013709B">
        <w:rPr>
          <w:i/>
        </w:rPr>
        <w:t xml:space="preserve"> higher numbers generally associated with leading states.  The percentage allocated to evaluation in Connecticut had declined from 2.1% in 2012/2013 to 1% in </w:t>
      </w:r>
      <w:r w:rsidR="00FD6E88" w:rsidRPr="0013709B">
        <w:rPr>
          <w:i/>
        </w:rPr>
        <w:t>2019-22</w:t>
      </w:r>
      <w:r w:rsidRPr="0013709B">
        <w:rPr>
          <w:i/>
        </w:rPr>
        <w:t>.</w:t>
      </w:r>
      <w:r w:rsidR="00FD6E88" w:rsidRPr="0013709B">
        <w:rPr>
          <w:rStyle w:val="FootnoteReference"/>
          <w:i/>
        </w:rPr>
        <w:footnoteReference w:id="1"/>
      </w:r>
      <w:r w:rsidRPr="0013709B">
        <w:rPr>
          <w:i/>
        </w:rPr>
        <w:t xml:space="preserve">  This budget increase moves Connecticut back to values that are in line with other states. </w:t>
      </w:r>
    </w:p>
    <w:p w14:paraId="75EB1A92" w14:textId="0BBB3C9F" w:rsidR="002528A3" w:rsidRPr="0013709B" w:rsidRDefault="002528A3" w:rsidP="00EE2B04">
      <w:pPr>
        <w:rPr>
          <w:i/>
        </w:rPr>
      </w:pPr>
      <w:r w:rsidRPr="0013709B">
        <w:rPr>
          <w:i/>
        </w:rPr>
        <w:t>The low eval</w:t>
      </w:r>
      <w:r w:rsidR="00FD6E88" w:rsidRPr="0013709B">
        <w:rPr>
          <w:i/>
        </w:rPr>
        <w:t>u</w:t>
      </w:r>
      <w:r w:rsidRPr="0013709B">
        <w:rPr>
          <w:i/>
        </w:rPr>
        <w:t>ation bu</w:t>
      </w:r>
      <w:r w:rsidR="00FD6E88" w:rsidRPr="0013709B">
        <w:rPr>
          <w:i/>
        </w:rPr>
        <w:t>d</w:t>
      </w:r>
      <w:r w:rsidRPr="0013709B">
        <w:rPr>
          <w:i/>
        </w:rPr>
        <w:t>gets in Con</w:t>
      </w:r>
      <w:r w:rsidR="00FD6E88" w:rsidRPr="0013709B">
        <w:rPr>
          <w:i/>
        </w:rPr>
        <w:t>n</w:t>
      </w:r>
      <w:r w:rsidRPr="0013709B">
        <w:rPr>
          <w:i/>
        </w:rPr>
        <w:t>ecticut have led to very limited scopes a</w:t>
      </w:r>
      <w:r w:rsidR="00FD6E88" w:rsidRPr="0013709B">
        <w:rPr>
          <w:i/>
        </w:rPr>
        <w:t>n</w:t>
      </w:r>
      <w:r w:rsidRPr="0013709B">
        <w:rPr>
          <w:i/>
        </w:rPr>
        <w:t>d samp</w:t>
      </w:r>
      <w:r w:rsidR="00FD6E88" w:rsidRPr="0013709B">
        <w:rPr>
          <w:i/>
        </w:rPr>
        <w:t>l</w:t>
      </w:r>
      <w:r w:rsidRPr="0013709B">
        <w:rPr>
          <w:i/>
        </w:rPr>
        <w:t>e si</w:t>
      </w:r>
      <w:r w:rsidR="00FD6E88" w:rsidRPr="0013709B">
        <w:rPr>
          <w:i/>
        </w:rPr>
        <w:t>z</w:t>
      </w:r>
      <w:r w:rsidRPr="0013709B">
        <w:rPr>
          <w:i/>
        </w:rPr>
        <w:t xml:space="preserve">es, and also difficulties making the projects </w:t>
      </w:r>
      <w:r w:rsidR="00AF5783" w:rsidRPr="0013709B">
        <w:rPr>
          <w:i/>
        </w:rPr>
        <w:t>economically</w:t>
      </w:r>
      <w:r w:rsidRPr="0013709B">
        <w:rPr>
          <w:i/>
        </w:rPr>
        <w:t xml:space="preserve"> attractive to industry-leader contractors.  The </w:t>
      </w:r>
      <w:r w:rsidR="00AF5783" w:rsidRPr="0013709B">
        <w:rPr>
          <w:i/>
        </w:rPr>
        <w:t>increased</w:t>
      </w:r>
      <w:r w:rsidRPr="0013709B">
        <w:rPr>
          <w:i/>
        </w:rPr>
        <w:t xml:space="preserve"> budget brings </w:t>
      </w:r>
      <w:r w:rsidR="00AF5783" w:rsidRPr="0013709B">
        <w:rPr>
          <w:i/>
        </w:rPr>
        <w:t>substantial</w:t>
      </w:r>
      <w:r w:rsidRPr="0013709B">
        <w:rPr>
          <w:i/>
        </w:rPr>
        <w:t xml:space="preserve"> advantages to</w:t>
      </w:r>
      <w:r w:rsidR="00AF5783">
        <w:rPr>
          <w:i/>
        </w:rPr>
        <w:t xml:space="preserve"> the </w:t>
      </w:r>
      <w:r w:rsidR="00AF5783" w:rsidRPr="0013709B">
        <w:rPr>
          <w:i/>
        </w:rPr>
        <w:t>evaluation</w:t>
      </w:r>
      <w:r w:rsidRPr="0013709B">
        <w:rPr>
          <w:i/>
        </w:rPr>
        <w:t xml:space="preserve"> work in </w:t>
      </w:r>
      <w:r w:rsidR="00AF5783" w:rsidRPr="0013709B">
        <w:rPr>
          <w:i/>
        </w:rPr>
        <w:t>Connecticut</w:t>
      </w:r>
      <w:r w:rsidRPr="0013709B">
        <w:rPr>
          <w:i/>
        </w:rPr>
        <w:t xml:space="preserve"> in several ways, reflected in the enhanced scope of </w:t>
      </w:r>
      <w:r w:rsidR="00AF5783" w:rsidRPr="0013709B">
        <w:rPr>
          <w:i/>
        </w:rPr>
        <w:t>evaluation</w:t>
      </w:r>
      <w:r w:rsidRPr="0013709B">
        <w:rPr>
          <w:i/>
        </w:rPr>
        <w:t xml:space="preserve"> topics presented for this Three-</w:t>
      </w:r>
      <w:r w:rsidR="00AF5783" w:rsidRPr="0013709B">
        <w:rPr>
          <w:i/>
        </w:rPr>
        <w:t>Year</w:t>
      </w:r>
      <w:r w:rsidRPr="0013709B">
        <w:rPr>
          <w:i/>
        </w:rPr>
        <w:t xml:space="preserve"> Period:  </w:t>
      </w:r>
    </w:p>
    <w:p w14:paraId="6DEB1A71" w14:textId="77777777" w:rsidR="002528A3" w:rsidRPr="0013709B" w:rsidRDefault="002528A3" w:rsidP="002528A3">
      <w:pPr>
        <w:pStyle w:val="ListParagraph"/>
        <w:numPr>
          <w:ilvl w:val="0"/>
          <w:numId w:val="14"/>
        </w:numPr>
        <w:spacing w:after="0" w:line="240" w:lineRule="auto"/>
        <w:rPr>
          <w:i/>
        </w:rPr>
      </w:pPr>
      <w:r w:rsidRPr="0013709B">
        <w:rPr>
          <w:i/>
        </w:rPr>
        <w:t>More projects, representing topics that meet the array of needs expressed by the stakeholders.</w:t>
      </w:r>
    </w:p>
    <w:p w14:paraId="6F624D05" w14:textId="77777777" w:rsidR="002528A3" w:rsidRPr="0013709B" w:rsidRDefault="002528A3" w:rsidP="002528A3">
      <w:pPr>
        <w:pStyle w:val="ListParagraph"/>
        <w:numPr>
          <w:ilvl w:val="0"/>
          <w:numId w:val="14"/>
        </w:numPr>
        <w:spacing w:after="0" w:line="240" w:lineRule="auto"/>
        <w:rPr>
          <w:i/>
        </w:rPr>
      </w:pPr>
      <w:r w:rsidRPr="0013709B">
        <w:rPr>
          <w:i/>
        </w:rPr>
        <w:t xml:space="preserve">Projects with more robust scopes and larger sample sizes, to allow greater granularity in results, and fewer limitations on drilling down on key subjects. </w:t>
      </w:r>
    </w:p>
    <w:p w14:paraId="2931AF48" w14:textId="77777777" w:rsidR="002528A3" w:rsidRPr="0013709B" w:rsidRDefault="002528A3" w:rsidP="002528A3">
      <w:pPr>
        <w:pStyle w:val="ListParagraph"/>
        <w:numPr>
          <w:ilvl w:val="0"/>
          <w:numId w:val="14"/>
        </w:numPr>
        <w:spacing w:after="0" w:line="240" w:lineRule="auto"/>
        <w:rPr>
          <w:i/>
        </w:rPr>
      </w:pPr>
      <w:r w:rsidRPr="0013709B">
        <w:rPr>
          <w:i/>
        </w:rPr>
        <w:t xml:space="preserve">The plan’s budget and corresponding level of verification of programs and their savings represents a percentage that is more in line with industry standard for evaluation across the nation.   </w:t>
      </w:r>
    </w:p>
    <w:p w14:paraId="2AB0F966" w14:textId="77777777" w:rsidR="009E7A9C" w:rsidRPr="0013709B" w:rsidRDefault="009E7A9C" w:rsidP="00EE2B04">
      <w:pPr>
        <w:rPr>
          <w:i/>
        </w:rPr>
      </w:pPr>
    </w:p>
    <w:bookmarkEnd w:id="1"/>
    <w:p w14:paraId="2E55EBC5" w14:textId="51EB3AD5" w:rsidR="007B038E" w:rsidRPr="0013709B" w:rsidRDefault="00A92B6B" w:rsidP="00EE2B04">
      <w:pPr>
        <w:rPr>
          <w:i/>
        </w:rPr>
      </w:pPr>
      <w:r w:rsidRPr="0013709B">
        <w:rPr>
          <w:i/>
        </w:rPr>
        <w:t xml:space="preserve">The </w:t>
      </w:r>
      <w:r w:rsidR="007B038E" w:rsidRPr="0013709B">
        <w:rPr>
          <w:i/>
        </w:rPr>
        <w:t xml:space="preserve">annual phased dollars </w:t>
      </w:r>
      <w:r w:rsidR="00301EFF">
        <w:rPr>
          <w:i/>
        </w:rPr>
        <w:t xml:space="preserve">are presented in Figure A.1.  The </w:t>
      </w:r>
      <w:r w:rsidRPr="0013709B">
        <w:rPr>
          <w:i/>
        </w:rPr>
        <w:t xml:space="preserve">split by sector is shown </w:t>
      </w:r>
      <w:r w:rsidR="007B038E" w:rsidRPr="0013709B">
        <w:rPr>
          <w:i/>
        </w:rPr>
        <w:t>in Figure A.</w:t>
      </w:r>
      <w:r w:rsidR="00301EFF">
        <w:rPr>
          <w:i/>
        </w:rPr>
        <w:t>2</w:t>
      </w:r>
      <w:r w:rsidRPr="0013709B">
        <w:rPr>
          <w:i/>
        </w:rPr>
        <w:t xml:space="preserve">.  </w:t>
      </w:r>
      <w:r w:rsidR="00FE6794" w:rsidRPr="0013709B">
        <w:rPr>
          <w:i/>
        </w:rPr>
        <w:t>Figure A.</w:t>
      </w:r>
      <w:r w:rsidR="00301EFF">
        <w:rPr>
          <w:i/>
        </w:rPr>
        <w:t>3</w:t>
      </w:r>
      <w:r w:rsidR="00FE6794" w:rsidRPr="0013709B">
        <w:rPr>
          <w:i/>
        </w:rPr>
        <w:t xml:space="preserve"> identifies the split of projects by evaluation </w:t>
      </w:r>
      <w:r w:rsidR="005035D0" w:rsidRPr="0013709B">
        <w:rPr>
          <w:i/>
        </w:rPr>
        <w:t>category</w:t>
      </w:r>
      <w:r w:rsidR="00FE6794" w:rsidRPr="0013709B">
        <w:rPr>
          <w:i/>
        </w:rPr>
        <w:t xml:space="preserve">.  </w:t>
      </w:r>
      <w:r w:rsidR="00083112" w:rsidRPr="0013709B">
        <w:rPr>
          <w:i/>
        </w:rPr>
        <w:t xml:space="preserve">The </w:t>
      </w:r>
      <w:r w:rsidR="009E7555" w:rsidRPr="0013709B">
        <w:rPr>
          <w:i/>
        </w:rPr>
        <w:t>45</w:t>
      </w:r>
      <w:r w:rsidR="00083112" w:rsidRPr="0013709B">
        <w:rPr>
          <w:i/>
        </w:rPr>
        <w:t xml:space="preserve"> </w:t>
      </w:r>
      <w:r w:rsidR="005035D0" w:rsidRPr="0013709B">
        <w:rPr>
          <w:i/>
        </w:rPr>
        <w:t xml:space="preserve">individual </w:t>
      </w:r>
      <w:r w:rsidR="00083112" w:rsidRPr="0013709B">
        <w:rPr>
          <w:i/>
        </w:rPr>
        <w:t>recommended projects, budget</w:t>
      </w:r>
      <w:r w:rsidR="00580808" w:rsidRPr="0013709B">
        <w:rPr>
          <w:i/>
        </w:rPr>
        <w:t xml:space="preserve"> totals, and budget phasing </w:t>
      </w:r>
      <w:r w:rsidR="00083112" w:rsidRPr="0013709B">
        <w:rPr>
          <w:i/>
        </w:rPr>
        <w:t>are presented in Figure A.</w:t>
      </w:r>
      <w:r w:rsidR="00301EFF">
        <w:rPr>
          <w:i/>
        </w:rPr>
        <w:t>4</w:t>
      </w:r>
      <w:r w:rsidR="00083112" w:rsidRPr="0013709B">
        <w:rPr>
          <w:i/>
        </w:rPr>
        <w:t xml:space="preserve">. </w:t>
      </w:r>
    </w:p>
    <w:p w14:paraId="1D6B27E9" w14:textId="7C318F3D" w:rsidR="007B038E" w:rsidRPr="00B4084F" w:rsidRDefault="00B4084F" w:rsidP="007B038E">
      <w:pPr>
        <w:spacing w:after="0"/>
        <w:rPr>
          <w:b/>
          <w:sz w:val="20"/>
          <w:szCs w:val="20"/>
        </w:rPr>
      </w:pPr>
      <w:r>
        <w:rPr>
          <w:b/>
          <w:sz w:val="20"/>
          <w:szCs w:val="20"/>
        </w:rPr>
        <w:t xml:space="preserve">Figure </w:t>
      </w:r>
      <w:r w:rsidR="007B038E" w:rsidRPr="00B4084F">
        <w:rPr>
          <w:b/>
          <w:sz w:val="20"/>
          <w:szCs w:val="20"/>
        </w:rPr>
        <w:t>A</w:t>
      </w:r>
      <w:r w:rsidR="00301EFF" w:rsidRPr="00B4084F">
        <w:rPr>
          <w:b/>
          <w:sz w:val="20"/>
          <w:szCs w:val="20"/>
        </w:rPr>
        <w:t>.2</w:t>
      </w:r>
      <w:r w:rsidR="007B038E" w:rsidRPr="00B4084F">
        <w:rPr>
          <w:b/>
          <w:sz w:val="20"/>
          <w:szCs w:val="20"/>
        </w:rPr>
        <w:t>: Recommended Evaluation Plan Budget and Project Counts by Sector</w:t>
      </w:r>
      <w:r>
        <w:rPr>
          <w:b/>
          <w:sz w:val="20"/>
          <w:szCs w:val="20"/>
        </w:rPr>
        <w:t xml:space="preserve"> &amp;</w:t>
      </w:r>
      <w:r w:rsidR="007B038E" w:rsidRPr="00B4084F">
        <w:rPr>
          <w:b/>
          <w:sz w:val="20"/>
          <w:szCs w:val="20"/>
        </w:rPr>
        <w:t xml:space="preserve"> Year</w:t>
      </w:r>
    </w:p>
    <w:tbl>
      <w:tblPr>
        <w:tblW w:w="7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900"/>
        <w:gridCol w:w="990"/>
        <w:gridCol w:w="835"/>
        <w:gridCol w:w="1235"/>
        <w:gridCol w:w="900"/>
        <w:gridCol w:w="900"/>
      </w:tblGrid>
      <w:tr w:rsidR="009E7A9C" w:rsidRPr="00FE6794" w14:paraId="0B42F543" w14:textId="238F4726" w:rsidTr="00B4084F">
        <w:trPr>
          <w:trHeight w:val="295"/>
        </w:trPr>
        <w:tc>
          <w:tcPr>
            <w:tcW w:w="1435" w:type="dxa"/>
            <w:shd w:val="clear" w:color="auto" w:fill="D9E2F3" w:themeFill="accent5" w:themeFillTint="33"/>
            <w:noWrap/>
            <w:vAlign w:val="bottom"/>
            <w:hideMark/>
          </w:tcPr>
          <w:p w14:paraId="49A92204" w14:textId="77777777" w:rsidR="009E7A9C" w:rsidRPr="00FE6794" w:rsidRDefault="009E7A9C" w:rsidP="00FE6794">
            <w:pPr>
              <w:spacing w:after="0" w:line="240" w:lineRule="auto"/>
              <w:rPr>
                <w:rFonts w:ascii="Times New Roman" w:eastAsia="Times New Roman" w:hAnsi="Times New Roman" w:cs="Times New Roman"/>
                <w:sz w:val="20"/>
                <w:szCs w:val="20"/>
              </w:rPr>
            </w:pPr>
          </w:p>
        </w:tc>
        <w:tc>
          <w:tcPr>
            <w:tcW w:w="900" w:type="dxa"/>
            <w:shd w:val="clear" w:color="auto" w:fill="D9E2F3" w:themeFill="accent5" w:themeFillTint="33"/>
            <w:noWrap/>
            <w:vAlign w:val="bottom"/>
            <w:hideMark/>
          </w:tcPr>
          <w:p w14:paraId="788AD2C2" w14:textId="27372225" w:rsidR="009E7A9C" w:rsidRPr="00FE6794" w:rsidRDefault="009E7A9C" w:rsidP="00FE6794">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 xml:space="preserve">Budget </w:t>
            </w:r>
            <w:r w:rsidRPr="00FE6794">
              <w:rPr>
                <w:rFonts w:ascii="Calibri" w:eastAsia="Times New Roman" w:hAnsi="Calibri" w:cs="Calibri"/>
                <w:color w:val="000000"/>
                <w:sz w:val="20"/>
                <w:szCs w:val="20"/>
              </w:rPr>
              <w:t>Year 1</w:t>
            </w:r>
          </w:p>
        </w:tc>
        <w:tc>
          <w:tcPr>
            <w:tcW w:w="990" w:type="dxa"/>
            <w:shd w:val="clear" w:color="auto" w:fill="D9E2F3" w:themeFill="accent5" w:themeFillTint="33"/>
            <w:noWrap/>
            <w:vAlign w:val="bottom"/>
            <w:hideMark/>
          </w:tcPr>
          <w:p w14:paraId="00C45E7B" w14:textId="2D36B16F" w:rsidR="009E7A9C" w:rsidRPr="00FE6794" w:rsidRDefault="009E7A9C" w:rsidP="00FE6794">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 xml:space="preserve">Budget </w:t>
            </w:r>
            <w:r w:rsidRPr="00FE6794">
              <w:rPr>
                <w:rFonts w:ascii="Calibri" w:eastAsia="Times New Roman" w:hAnsi="Calibri" w:cs="Calibri"/>
                <w:color w:val="000000"/>
                <w:sz w:val="20"/>
                <w:szCs w:val="20"/>
              </w:rPr>
              <w:t>Year 2</w:t>
            </w:r>
          </w:p>
        </w:tc>
        <w:tc>
          <w:tcPr>
            <w:tcW w:w="835" w:type="dxa"/>
            <w:shd w:val="clear" w:color="auto" w:fill="D9E2F3" w:themeFill="accent5" w:themeFillTint="33"/>
            <w:noWrap/>
            <w:vAlign w:val="bottom"/>
            <w:hideMark/>
          </w:tcPr>
          <w:p w14:paraId="08694DDC" w14:textId="11A92F62" w:rsidR="009E7A9C" w:rsidRPr="00FE6794" w:rsidRDefault="009E7A9C" w:rsidP="00FE6794">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 xml:space="preserve">Budget </w:t>
            </w:r>
            <w:r w:rsidRPr="00FE6794">
              <w:rPr>
                <w:rFonts w:ascii="Calibri" w:eastAsia="Times New Roman" w:hAnsi="Calibri" w:cs="Calibri"/>
                <w:color w:val="000000"/>
                <w:sz w:val="20"/>
                <w:szCs w:val="20"/>
              </w:rPr>
              <w:t>Year 3</w:t>
            </w:r>
          </w:p>
        </w:tc>
        <w:tc>
          <w:tcPr>
            <w:tcW w:w="1235" w:type="dxa"/>
            <w:shd w:val="clear" w:color="auto" w:fill="D9E2F3" w:themeFill="accent5" w:themeFillTint="33"/>
            <w:noWrap/>
            <w:vAlign w:val="bottom"/>
            <w:hideMark/>
          </w:tcPr>
          <w:p w14:paraId="4ADC94BD" w14:textId="610BEB0B" w:rsidR="009E7A9C" w:rsidRPr="00FE6794" w:rsidRDefault="009E7A9C" w:rsidP="00FE6794">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Total</w:t>
            </w:r>
            <w:r>
              <w:rPr>
                <w:rFonts w:ascii="Calibri" w:eastAsia="Times New Roman" w:hAnsi="Calibri" w:cs="Calibri"/>
                <w:color w:val="000000"/>
                <w:sz w:val="20"/>
                <w:szCs w:val="20"/>
              </w:rPr>
              <w:t xml:space="preserve"> 3-year Budget</w:t>
            </w:r>
          </w:p>
        </w:tc>
        <w:tc>
          <w:tcPr>
            <w:tcW w:w="900" w:type="dxa"/>
            <w:shd w:val="clear" w:color="auto" w:fill="D9E2F3" w:themeFill="accent5" w:themeFillTint="33"/>
          </w:tcPr>
          <w:p w14:paraId="2D83FC43" w14:textId="06B22BA3" w:rsidR="009E7A9C" w:rsidRPr="00FE6794" w:rsidRDefault="009E7A9C" w:rsidP="00FE6794">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Share of total budget</w:t>
            </w:r>
          </w:p>
        </w:tc>
        <w:tc>
          <w:tcPr>
            <w:tcW w:w="900" w:type="dxa"/>
            <w:shd w:val="clear" w:color="auto" w:fill="D9E2F3" w:themeFill="accent5" w:themeFillTint="33"/>
          </w:tcPr>
          <w:p w14:paraId="4AA945DC" w14:textId="0321E927" w:rsidR="009E7A9C" w:rsidRDefault="009E7A9C" w:rsidP="00FE6794">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Number of Projects</w:t>
            </w:r>
          </w:p>
        </w:tc>
      </w:tr>
      <w:tr w:rsidR="009E7A9C" w:rsidRPr="00FE6794" w14:paraId="471D5002" w14:textId="5AE9E695" w:rsidTr="00B4084F">
        <w:trPr>
          <w:trHeight w:val="295"/>
        </w:trPr>
        <w:tc>
          <w:tcPr>
            <w:tcW w:w="1435" w:type="dxa"/>
            <w:shd w:val="clear" w:color="auto" w:fill="D9E2F3" w:themeFill="accent5" w:themeFillTint="33"/>
            <w:noWrap/>
            <w:vAlign w:val="bottom"/>
            <w:hideMark/>
          </w:tcPr>
          <w:p w14:paraId="22C7B800" w14:textId="77777777" w:rsidR="009E7A9C" w:rsidRPr="00FE6794" w:rsidRDefault="009E7A9C" w:rsidP="00FE6794">
            <w:pPr>
              <w:spacing w:after="0" w:line="240" w:lineRule="auto"/>
              <w:rPr>
                <w:rFonts w:ascii="Calibri" w:eastAsia="Times New Roman" w:hAnsi="Calibri" w:cs="Calibri"/>
                <w:color w:val="000000"/>
                <w:sz w:val="20"/>
                <w:szCs w:val="20"/>
              </w:rPr>
            </w:pPr>
            <w:r w:rsidRPr="00FE6794">
              <w:rPr>
                <w:rFonts w:ascii="Calibri" w:eastAsia="Times New Roman" w:hAnsi="Calibri" w:cs="Calibri"/>
                <w:color w:val="000000"/>
                <w:sz w:val="20"/>
                <w:szCs w:val="20"/>
              </w:rPr>
              <w:t>Residential</w:t>
            </w:r>
          </w:p>
        </w:tc>
        <w:tc>
          <w:tcPr>
            <w:tcW w:w="900" w:type="dxa"/>
            <w:shd w:val="clear" w:color="auto" w:fill="auto"/>
            <w:noWrap/>
            <w:vAlign w:val="bottom"/>
            <w:hideMark/>
          </w:tcPr>
          <w:p w14:paraId="62EA955D" w14:textId="77777777" w:rsidR="009E7A9C" w:rsidRPr="00FE6794" w:rsidRDefault="009E7A9C" w:rsidP="00FE6794">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$1,595</w:t>
            </w:r>
          </w:p>
        </w:tc>
        <w:tc>
          <w:tcPr>
            <w:tcW w:w="990" w:type="dxa"/>
            <w:shd w:val="clear" w:color="auto" w:fill="auto"/>
            <w:noWrap/>
            <w:vAlign w:val="bottom"/>
            <w:hideMark/>
          </w:tcPr>
          <w:p w14:paraId="5C7107EB" w14:textId="77777777" w:rsidR="009E7A9C" w:rsidRPr="00FE6794" w:rsidRDefault="009E7A9C" w:rsidP="00FE6794">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$1,169</w:t>
            </w:r>
          </w:p>
        </w:tc>
        <w:tc>
          <w:tcPr>
            <w:tcW w:w="835" w:type="dxa"/>
            <w:shd w:val="clear" w:color="auto" w:fill="auto"/>
            <w:noWrap/>
            <w:vAlign w:val="bottom"/>
            <w:hideMark/>
          </w:tcPr>
          <w:p w14:paraId="7749BB3A" w14:textId="77777777" w:rsidR="009E7A9C" w:rsidRPr="00FE6794" w:rsidRDefault="009E7A9C" w:rsidP="00FE6794">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$2,226</w:t>
            </w:r>
          </w:p>
        </w:tc>
        <w:tc>
          <w:tcPr>
            <w:tcW w:w="1235" w:type="dxa"/>
            <w:shd w:val="clear" w:color="auto" w:fill="auto"/>
            <w:noWrap/>
            <w:vAlign w:val="bottom"/>
            <w:hideMark/>
          </w:tcPr>
          <w:p w14:paraId="62A09FBF" w14:textId="77777777" w:rsidR="009E7A9C" w:rsidRPr="00FE6794" w:rsidRDefault="009E7A9C" w:rsidP="00FE6794">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$4,990</w:t>
            </w:r>
          </w:p>
        </w:tc>
        <w:tc>
          <w:tcPr>
            <w:tcW w:w="900" w:type="dxa"/>
          </w:tcPr>
          <w:p w14:paraId="04ED1FCF" w14:textId="04B98FC2" w:rsidR="009E7A9C" w:rsidRPr="00FE6794" w:rsidRDefault="009E7A9C" w:rsidP="00FE6794">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34%</w:t>
            </w:r>
          </w:p>
        </w:tc>
        <w:tc>
          <w:tcPr>
            <w:tcW w:w="900" w:type="dxa"/>
          </w:tcPr>
          <w:p w14:paraId="5A3FBDEA" w14:textId="5F1F7F2E" w:rsidR="009E7A9C" w:rsidRDefault="005A22A9" w:rsidP="00FE6794">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15</w:t>
            </w:r>
          </w:p>
        </w:tc>
      </w:tr>
      <w:tr w:rsidR="009E7A9C" w:rsidRPr="00FE6794" w14:paraId="4E2532B0" w14:textId="5A65A767" w:rsidTr="00B4084F">
        <w:trPr>
          <w:trHeight w:val="310"/>
        </w:trPr>
        <w:tc>
          <w:tcPr>
            <w:tcW w:w="1435" w:type="dxa"/>
            <w:shd w:val="clear" w:color="auto" w:fill="D9E2F3" w:themeFill="accent5" w:themeFillTint="33"/>
            <w:noWrap/>
            <w:vAlign w:val="bottom"/>
            <w:hideMark/>
          </w:tcPr>
          <w:p w14:paraId="4A932C9A" w14:textId="77777777" w:rsidR="009E7A9C" w:rsidRPr="00FE6794" w:rsidRDefault="009E7A9C" w:rsidP="00FE6794">
            <w:pPr>
              <w:spacing w:after="0" w:line="240" w:lineRule="auto"/>
              <w:rPr>
                <w:rFonts w:ascii="Calibri" w:eastAsia="Times New Roman" w:hAnsi="Calibri" w:cs="Calibri"/>
                <w:color w:val="000000"/>
                <w:sz w:val="20"/>
                <w:szCs w:val="20"/>
              </w:rPr>
            </w:pPr>
            <w:r w:rsidRPr="00FE6794">
              <w:rPr>
                <w:rFonts w:ascii="Calibri" w:eastAsia="Times New Roman" w:hAnsi="Calibri" w:cs="Calibri"/>
                <w:color w:val="000000"/>
                <w:sz w:val="20"/>
                <w:szCs w:val="20"/>
              </w:rPr>
              <w:t xml:space="preserve">Commercial </w:t>
            </w:r>
          </w:p>
        </w:tc>
        <w:tc>
          <w:tcPr>
            <w:tcW w:w="900" w:type="dxa"/>
            <w:shd w:val="clear" w:color="auto" w:fill="auto"/>
            <w:noWrap/>
            <w:vAlign w:val="bottom"/>
            <w:hideMark/>
          </w:tcPr>
          <w:p w14:paraId="0B22DB8D" w14:textId="77777777" w:rsidR="009E7A9C" w:rsidRPr="00FE6794" w:rsidRDefault="009E7A9C" w:rsidP="00FE6794">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$1,330</w:t>
            </w:r>
          </w:p>
        </w:tc>
        <w:tc>
          <w:tcPr>
            <w:tcW w:w="990" w:type="dxa"/>
            <w:shd w:val="clear" w:color="auto" w:fill="auto"/>
            <w:noWrap/>
            <w:vAlign w:val="bottom"/>
            <w:hideMark/>
          </w:tcPr>
          <w:p w14:paraId="534D6E43" w14:textId="77777777" w:rsidR="009E7A9C" w:rsidRPr="00FE6794" w:rsidRDefault="009E7A9C" w:rsidP="00FE6794">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$1,180</w:t>
            </w:r>
          </w:p>
        </w:tc>
        <w:tc>
          <w:tcPr>
            <w:tcW w:w="835" w:type="dxa"/>
            <w:shd w:val="clear" w:color="auto" w:fill="auto"/>
            <w:noWrap/>
            <w:vAlign w:val="bottom"/>
            <w:hideMark/>
          </w:tcPr>
          <w:p w14:paraId="5C8BE976" w14:textId="77777777" w:rsidR="009E7A9C" w:rsidRPr="00FE6794" w:rsidRDefault="009E7A9C" w:rsidP="00FE6794">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$1,400</w:t>
            </w:r>
          </w:p>
        </w:tc>
        <w:tc>
          <w:tcPr>
            <w:tcW w:w="1235" w:type="dxa"/>
            <w:shd w:val="clear" w:color="auto" w:fill="auto"/>
            <w:noWrap/>
            <w:vAlign w:val="bottom"/>
            <w:hideMark/>
          </w:tcPr>
          <w:p w14:paraId="7E884DFF" w14:textId="77777777" w:rsidR="009E7A9C" w:rsidRPr="00FE6794" w:rsidRDefault="009E7A9C" w:rsidP="00FE6794">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$3,910</w:t>
            </w:r>
          </w:p>
        </w:tc>
        <w:tc>
          <w:tcPr>
            <w:tcW w:w="900" w:type="dxa"/>
          </w:tcPr>
          <w:p w14:paraId="04974279" w14:textId="360B9BEA" w:rsidR="009E7A9C" w:rsidRPr="00FE6794" w:rsidRDefault="009E7A9C" w:rsidP="00FE6794">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26%</w:t>
            </w:r>
          </w:p>
        </w:tc>
        <w:tc>
          <w:tcPr>
            <w:tcW w:w="900" w:type="dxa"/>
          </w:tcPr>
          <w:p w14:paraId="08D3FBC1" w14:textId="565EE273" w:rsidR="009E7A9C" w:rsidRDefault="005A22A9" w:rsidP="00FE6794">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8</w:t>
            </w:r>
          </w:p>
        </w:tc>
      </w:tr>
      <w:tr w:rsidR="009E7A9C" w:rsidRPr="00FE6794" w14:paraId="40812D18" w14:textId="476DCCB7" w:rsidTr="00B4084F">
        <w:trPr>
          <w:trHeight w:val="295"/>
        </w:trPr>
        <w:tc>
          <w:tcPr>
            <w:tcW w:w="1435" w:type="dxa"/>
            <w:shd w:val="clear" w:color="auto" w:fill="D9E2F3" w:themeFill="accent5" w:themeFillTint="33"/>
            <w:noWrap/>
            <w:vAlign w:val="bottom"/>
            <w:hideMark/>
          </w:tcPr>
          <w:p w14:paraId="041657F1" w14:textId="77777777" w:rsidR="009E7A9C" w:rsidRPr="00FE6794" w:rsidRDefault="009E7A9C" w:rsidP="00FE6794">
            <w:pPr>
              <w:spacing w:after="0" w:line="240" w:lineRule="auto"/>
              <w:rPr>
                <w:rFonts w:ascii="Calibri" w:eastAsia="Times New Roman" w:hAnsi="Calibri" w:cs="Calibri"/>
                <w:color w:val="000000"/>
                <w:sz w:val="20"/>
                <w:szCs w:val="20"/>
              </w:rPr>
            </w:pPr>
            <w:r w:rsidRPr="00FE6794">
              <w:rPr>
                <w:rFonts w:ascii="Calibri" w:eastAsia="Times New Roman" w:hAnsi="Calibri" w:cs="Calibri"/>
                <w:color w:val="000000"/>
                <w:sz w:val="20"/>
                <w:szCs w:val="20"/>
              </w:rPr>
              <w:t>Cross-sector</w:t>
            </w:r>
          </w:p>
        </w:tc>
        <w:tc>
          <w:tcPr>
            <w:tcW w:w="900" w:type="dxa"/>
            <w:shd w:val="clear" w:color="auto" w:fill="auto"/>
            <w:noWrap/>
            <w:vAlign w:val="bottom"/>
            <w:hideMark/>
          </w:tcPr>
          <w:p w14:paraId="68386F65" w14:textId="77777777" w:rsidR="009E7A9C" w:rsidRPr="00FE6794" w:rsidRDefault="009E7A9C" w:rsidP="00FE6794">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$1,575</w:t>
            </w:r>
          </w:p>
        </w:tc>
        <w:tc>
          <w:tcPr>
            <w:tcW w:w="990" w:type="dxa"/>
            <w:shd w:val="clear" w:color="auto" w:fill="auto"/>
            <w:noWrap/>
            <w:vAlign w:val="bottom"/>
            <w:hideMark/>
          </w:tcPr>
          <w:p w14:paraId="58167465" w14:textId="77777777" w:rsidR="009E7A9C" w:rsidRPr="00FE6794" w:rsidRDefault="009E7A9C" w:rsidP="00FE6794">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$2,151</w:t>
            </w:r>
          </w:p>
        </w:tc>
        <w:tc>
          <w:tcPr>
            <w:tcW w:w="835" w:type="dxa"/>
            <w:shd w:val="clear" w:color="auto" w:fill="auto"/>
            <w:noWrap/>
            <w:vAlign w:val="bottom"/>
            <w:hideMark/>
          </w:tcPr>
          <w:p w14:paraId="707C2672" w14:textId="77777777" w:rsidR="009E7A9C" w:rsidRPr="00FE6794" w:rsidRDefault="009E7A9C" w:rsidP="00FE6794">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$2,149</w:t>
            </w:r>
          </w:p>
        </w:tc>
        <w:tc>
          <w:tcPr>
            <w:tcW w:w="1235" w:type="dxa"/>
            <w:shd w:val="clear" w:color="auto" w:fill="auto"/>
            <w:noWrap/>
            <w:vAlign w:val="bottom"/>
            <w:hideMark/>
          </w:tcPr>
          <w:p w14:paraId="65DBE8DC" w14:textId="77777777" w:rsidR="009E7A9C" w:rsidRPr="00FE6794" w:rsidRDefault="009E7A9C" w:rsidP="00FE6794">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$5,875</w:t>
            </w:r>
          </w:p>
        </w:tc>
        <w:tc>
          <w:tcPr>
            <w:tcW w:w="900" w:type="dxa"/>
          </w:tcPr>
          <w:p w14:paraId="0FAA8D22" w14:textId="2B33BFE8" w:rsidR="009E7A9C" w:rsidRPr="00FE6794" w:rsidRDefault="009E7A9C" w:rsidP="00FE6794">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40%</w:t>
            </w:r>
          </w:p>
        </w:tc>
        <w:tc>
          <w:tcPr>
            <w:tcW w:w="900" w:type="dxa"/>
          </w:tcPr>
          <w:p w14:paraId="5A536BC2" w14:textId="6758B444" w:rsidR="009E7A9C" w:rsidRDefault="005A22A9" w:rsidP="00FE6794">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22</w:t>
            </w:r>
          </w:p>
        </w:tc>
      </w:tr>
      <w:tr w:rsidR="009E7A9C" w:rsidRPr="00FE6794" w14:paraId="0B2277EC" w14:textId="4D59E52A" w:rsidTr="00B4084F">
        <w:trPr>
          <w:trHeight w:val="310"/>
        </w:trPr>
        <w:tc>
          <w:tcPr>
            <w:tcW w:w="1435" w:type="dxa"/>
            <w:shd w:val="clear" w:color="auto" w:fill="D9E2F3" w:themeFill="accent5" w:themeFillTint="33"/>
            <w:noWrap/>
            <w:vAlign w:val="bottom"/>
            <w:hideMark/>
          </w:tcPr>
          <w:p w14:paraId="36ABBE26" w14:textId="77777777" w:rsidR="009E7A9C" w:rsidRPr="00FE6794" w:rsidRDefault="009E7A9C" w:rsidP="00FE6794">
            <w:pPr>
              <w:spacing w:after="0" w:line="240" w:lineRule="auto"/>
              <w:rPr>
                <w:rFonts w:ascii="Calibri" w:eastAsia="Times New Roman" w:hAnsi="Calibri" w:cs="Calibri"/>
                <w:color w:val="000000"/>
                <w:sz w:val="20"/>
                <w:szCs w:val="20"/>
              </w:rPr>
            </w:pPr>
            <w:r w:rsidRPr="00FE6794">
              <w:rPr>
                <w:rFonts w:ascii="Calibri" w:eastAsia="Times New Roman" w:hAnsi="Calibri" w:cs="Calibri"/>
                <w:color w:val="000000"/>
                <w:sz w:val="20"/>
                <w:szCs w:val="20"/>
              </w:rPr>
              <w:t>Total</w:t>
            </w:r>
          </w:p>
        </w:tc>
        <w:tc>
          <w:tcPr>
            <w:tcW w:w="900" w:type="dxa"/>
            <w:shd w:val="clear" w:color="auto" w:fill="auto"/>
            <w:noWrap/>
            <w:vAlign w:val="bottom"/>
            <w:hideMark/>
          </w:tcPr>
          <w:p w14:paraId="75AA75C4" w14:textId="77777777" w:rsidR="009E7A9C" w:rsidRPr="00FE6794" w:rsidRDefault="009E7A9C" w:rsidP="00FE6794">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$4,500</w:t>
            </w:r>
          </w:p>
        </w:tc>
        <w:tc>
          <w:tcPr>
            <w:tcW w:w="990" w:type="dxa"/>
            <w:shd w:val="clear" w:color="auto" w:fill="auto"/>
            <w:noWrap/>
            <w:vAlign w:val="bottom"/>
            <w:hideMark/>
          </w:tcPr>
          <w:p w14:paraId="2774E8B9" w14:textId="77777777" w:rsidR="009E7A9C" w:rsidRPr="00FE6794" w:rsidRDefault="009E7A9C" w:rsidP="00FE6794">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$4,500</w:t>
            </w:r>
          </w:p>
        </w:tc>
        <w:tc>
          <w:tcPr>
            <w:tcW w:w="835" w:type="dxa"/>
            <w:shd w:val="clear" w:color="auto" w:fill="auto"/>
            <w:noWrap/>
            <w:vAlign w:val="bottom"/>
            <w:hideMark/>
          </w:tcPr>
          <w:p w14:paraId="4B10D93F" w14:textId="77777777" w:rsidR="009E7A9C" w:rsidRPr="00FE6794" w:rsidRDefault="009E7A9C" w:rsidP="00FE6794">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$5,775</w:t>
            </w:r>
          </w:p>
        </w:tc>
        <w:tc>
          <w:tcPr>
            <w:tcW w:w="1235" w:type="dxa"/>
            <w:shd w:val="clear" w:color="auto" w:fill="auto"/>
            <w:noWrap/>
            <w:vAlign w:val="bottom"/>
            <w:hideMark/>
          </w:tcPr>
          <w:p w14:paraId="606B3022" w14:textId="77777777" w:rsidR="009E7A9C" w:rsidRPr="00FE6794" w:rsidRDefault="009E7A9C" w:rsidP="00FE6794">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$14,775</w:t>
            </w:r>
          </w:p>
        </w:tc>
        <w:tc>
          <w:tcPr>
            <w:tcW w:w="900" w:type="dxa"/>
          </w:tcPr>
          <w:p w14:paraId="01ACA953" w14:textId="4C851490" w:rsidR="009E7A9C" w:rsidRPr="00FE6794" w:rsidRDefault="009E7A9C" w:rsidP="00FE6794">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100%</w:t>
            </w:r>
          </w:p>
        </w:tc>
        <w:tc>
          <w:tcPr>
            <w:tcW w:w="900" w:type="dxa"/>
          </w:tcPr>
          <w:p w14:paraId="0CB9677C" w14:textId="5034463D" w:rsidR="009E7A9C" w:rsidRDefault="005A22A9" w:rsidP="00FE6794">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45</w:t>
            </w:r>
          </w:p>
        </w:tc>
      </w:tr>
      <w:tr w:rsidR="009E7A9C" w:rsidRPr="00FE6794" w14:paraId="7E226590" w14:textId="3FC3B0C0" w:rsidTr="00B4084F">
        <w:trPr>
          <w:trHeight w:val="310"/>
        </w:trPr>
        <w:tc>
          <w:tcPr>
            <w:tcW w:w="1435" w:type="dxa"/>
            <w:shd w:val="clear" w:color="auto" w:fill="D9E2F3" w:themeFill="accent5" w:themeFillTint="33"/>
            <w:noWrap/>
            <w:vAlign w:val="bottom"/>
          </w:tcPr>
          <w:p w14:paraId="28B1F5C4" w14:textId="3FFF56E6" w:rsidR="009E7A9C" w:rsidRPr="00FE6794" w:rsidRDefault="009E7A9C" w:rsidP="00FE67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Share of Total</w:t>
            </w:r>
          </w:p>
        </w:tc>
        <w:tc>
          <w:tcPr>
            <w:tcW w:w="900" w:type="dxa"/>
            <w:shd w:val="clear" w:color="auto" w:fill="auto"/>
            <w:noWrap/>
            <w:vAlign w:val="bottom"/>
          </w:tcPr>
          <w:p w14:paraId="4E2E2F54" w14:textId="42A83B20" w:rsidR="009E7A9C" w:rsidRPr="00FE6794" w:rsidRDefault="009E7A9C" w:rsidP="00FE6794">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30.5%</w:t>
            </w:r>
          </w:p>
        </w:tc>
        <w:tc>
          <w:tcPr>
            <w:tcW w:w="990" w:type="dxa"/>
            <w:shd w:val="clear" w:color="auto" w:fill="auto"/>
            <w:noWrap/>
            <w:vAlign w:val="bottom"/>
          </w:tcPr>
          <w:p w14:paraId="5CDA7C29" w14:textId="1CC21561" w:rsidR="009E7A9C" w:rsidRPr="00FE6794" w:rsidRDefault="009E7A9C" w:rsidP="00FE6794">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30.5%</w:t>
            </w:r>
          </w:p>
        </w:tc>
        <w:tc>
          <w:tcPr>
            <w:tcW w:w="835" w:type="dxa"/>
            <w:shd w:val="clear" w:color="auto" w:fill="auto"/>
            <w:noWrap/>
            <w:vAlign w:val="bottom"/>
          </w:tcPr>
          <w:p w14:paraId="44DA1825" w14:textId="13F7406E" w:rsidR="009E7A9C" w:rsidRPr="00FE6794" w:rsidRDefault="009E7A9C" w:rsidP="00FE6794">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39%</w:t>
            </w:r>
          </w:p>
        </w:tc>
        <w:tc>
          <w:tcPr>
            <w:tcW w:w="1235" w:type="dxa"/>
            <w:shd w:val="clear" w:color="auto" w:fill="auto"/>
            <w:noWrap/>
            <w:vAlign w:val="bottom"/>
          </w:tcPr>
          <w:p w14:paraId="7DDD28D1" w14:textId="011A1FC1" w:rsidR="009E7A9C" w:rsidRPr="00FE6794" w:rsidRDefault="009E7A9C" w:rsidP="00FE6794">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100%</w:t>
            </w:r>
          </w:p>
        </w:tc>
        <w:tc>
          <w:tcPr>
            <w:tcW w:w="900" w:type="dxa"/>
          </w:tcPr>
          <w:p w14:paraId="2873D0EA" w14:textId="77777777" w:rsidR="009E7A9C" w:rsidRPr="00FE6794" w:rsidRDefault="009E7A9C" w:rsidP="00FE6794">
            <w:pPr>
              <w:spacing w:after="0" w:line="240" w:lineRule="auto"/>
              <w:jc w:val="right"/>
              <w:rPr>
                <w:rFonts w:ascii="Calibri" w:eastAsia="Times New Roman" w:hAnsi="Calibri" w:cs="Calibri"/>
                <w:color w:val="000000"/>
                <w:sz w:val="20"/>
                <w:szCs w:val="20"/>
              </w:rPr>
            </w:pPr>
          </w:p>
        </w:tc>
        <w:tc>
          <w:tcPr>
            <w:tcW w:w="900" w:type="dxa"/>
          </w:tcPr>
          <w:p w14:paraId="51609223" w14:textId="77777777" w:rsidR="009E7A9C" w:rsidRPr="00FE6794" w:rsidRDefault="009E7A9C" w:rsidP="00FE6794">
            <w:pPr>
              <w:spacing w:after="0" w:line="240" w:lineRule="auto"/>
              <w:jc w:val="right"/>
              <w:rPr>
                <w:rFonts w:ascii="Calibri" w:eastAsia="Times New Roman" w:hAnsi="Calibri" w:cs="Calibri"/>
                <w:color w:val="000000"/>
                <w:sz w:val="20"/>
                <w:szCs w:val="20"/>
              </w:rPr>
            </w:pPr>
          </w:p>
        </w:tc>
      </w:tr>
    </w:tbl>
    <w:p w14:paraId="11969E61" w14:textId="5A469A9F" w:rsidR="00FE6794" w:rsidRDefault="00FE6794" w:rsidP="007B038E">
      <w:pPr>
        <w:spacing w:after="0"/>
        <w:rPr>
          <w:i/>
          <w:sz w:val="18"/>
          <w:szCs w:val="20"/>
        </w:rPr>
      </w:pPr>
    </w:p>
    <w:p w14:paraId="61A6A61E" w14:textId="3BD9CE8B" w:rsidR="00FE6794" w:rsidRDefault="00FE6794" w:rsidP="007B038E">
      <w:pPr>
        <w:spacing w:after="0"/>
        <w:rPr>
          <w:i/>
          <w:sz w:val="18"/>
          <w:szCs w:val="20"/>
        </w:rPr>
      </w:pPr>
    </w:p>
    <w:p w14:paraId="0203B785" w14:textId="067CA828" w:rsidR="00FE6794" w:rsidRPr="00B4084F" w:rsidRDefault="00FE6794" w:rsidP="0013709B">
      <w:pPr>
        <w:spacing w:after="0" w:line="240" w:lineRule="auto"/>
        <w:rPr>
          <w:b/>
          <w:bCs/>
          <w:sz w:val="20"/>
          <w:szCs w:val="20"/>
        </w:rPr>
      </w:pPr>
      <w:r w:rsidRPr="00B4084F">
        <w:rPr>
          <w:b/>
          <w:bCs/>
          <w:sz w:val="20"/>
          <w:szCs w:val="20"/>
        </w:rPr>
        <w:t xml:space="preserve">Figure </w:t>
      </w:r>
      <w:r w:rsidR="0013709B" w:rsidRPr="00B4084F">
        <w:rPr>
          <w:b/>
          <w:bCs/>
          <w:sz w:val="20"/>
          <w:szCs w:val="20"/>
        </w:rPr>
        <w:t>A.</w:t>
      </w:r>
      <w:r w:rsidR="00301EFF" w:rsidRPr="00B4084F">
        <w:rPr>
          <w:b/>
          <w:bCs/>
          <w:sz w:val="20"/>
          <w:szCs w:val="20"/>
        </w:rPr>
        <w:t>3</w:t>
      </w:r>
      <w:r w:rsidRPr="00B4084F">
        <w:rPr>
          <w:b/>
          <w:bCs/>
          <w:sz w:val="20"/>
          <w:szCs w:val="20"/>
        </w:rPr>
        <w:t>:  Evaluation Plan Project List by Evaluation Type</w:t>
      </w:r>
    </w:p>
    <w:tbl>
      <w:tblPr>
        <w:tblW w:w="6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0"/>
        <w:gridCol w:w="1170"/>
        <w:gridCol w:w="1180"/>
        <w:gridCol w:w="960"/>
      </w:tblGrid>
      <w:tr w:rsidR="00FE6794" w:rsidRPr="007E7B07" w14:paraId="208171A4" w14:textId="77777777" w:rsidTr="00053D66">
        <w:trPr>
          <w:trHeight w:val="370"/>
        </w:trPr>
        <w:tc>
          <w:tcPr>
            <w:tcW w:w="2690" w:type="dxa"/>
            <w:shd w:val="clear" w:color="auto" w:fill="D9E2F3" w:themeFill="accent5" w:themeFillTint="33"/>
            <w:noWrap/>
            <w:vAlign w:val="bottom"/>
          </w:tcPr>
          <w:p w14:paraId="63A41AEB" w14:textId="77777777" w:rsidR="00FE6794" w:rsidRPr="007E7B07" w:rsidRDefault="00FE6794" w:rsidP="00FE67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Evaluation Type</w:t>
            </w:r>
          </w:p>
        </w:tc>
        <w:tc>
          <w:tcPr>
            <w:tcW w:w="1170" w:type="dxa"/>
            <w:shd w:val="clear" w:color="auto" w:fill="D9E2F3" w:themeFill="accent5" w:themeFillTint="33"/>
            <w:vAlign w:val="bottom"/>
          </w:tcPr>
          <w:p w14:paraId="29A98CA8" w14:textId="77777777" w:rsidR="00FE6794" w:rsidRPr="007E7B07" w:rsidRDefault="00FE6794" w:rsidP="00FE6794">
            <w:pPr>
              <w:spacing w:after="0" w:line="240" w:lineRule="auto"/>
              <w:jc w:val="right"/>
              <w:rPr>
                <w:rFonts w:ascii="Calibri" w:eastAsia="Times New Roman" w:hAnsi="Calibri" w:cs="Calibri"/>
                <w:i/>
                <w:iCs/>
                <w:color w:val="000000"/>
                <w:sz w:val="20"/>
                <w:szCs w:val="20"/>
              </w:rPr>
            </w:pPr>
            <w:r>
              <w:rPr>
                <w:rFonts w:ascii="Calibri" w:eastAsia="Times New Roman" w:hAnsi="Calibri" w:cs="Calibri"/>
                <w:i/>
                <w:iCs/>
                <w:color w:val="000000"/>
                <w:sz w:val="20"/>
                <w:szCs w:val="20"/>
              </w:rPr>
              <w:t># of Studies</w:t>
            </w:r>
          </w:p>
        </w:tc>
        <w:tc>
          <w:tcPr>
            <w:tcW w:w="1180" w:type="dxa"/>
            <w:shd w:val="clear" w:color="auto" w:fill="D9E2F3" w:themeFill="accent5" w:themeFillTint="33"/>
            <w:noWrap/>
            <w:vAlign w:val="bottom"/>
          </w:tcPr>
          <w:p w14:paraId="6885C6FF" w14:textId="77777777" w:rsidR="00FE6794" w:rsidRPr="007E7B07" w:rsidRDefault="00FE6794" w:rsidP="00FE6794">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Budget</w:t>
            </w:r>
          </w:p>
        </w:tc>
        <w:tc>
          <w:tcPr>
            <w:tcW w:w="960" w:type="dxa"/>
            <w:shd w:val="clear" w:color="auto" w:fill="D9E2F3" w:themeFill="accent5" w:themeFillTint="33"/>
            <w:noWrap/>
            <w:vAlign w:val="bottom"/>
          </w:tcPr>
          <w:p w14:paraId="6F3006CA" w14:textId="77777777" w:rsidR="00FE6794" w:rsidRPr="007E7B07" w:rsidRDefault="00FE6794" w:rsidP="00FE6794">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Share of Budget</w:t>
            </w:r>
          </w:p>
        </w:tc>
      </w:tr>
      <w:tr w:rsidR="00FE6794" w:rsidRPr="007E7B07" w14:paraId="58482AAC" w14:textId="77777777" w:rsidTr="00053D66">
        <w:tc>
          <w:tcPr>
            <w:tcW w:w="2690" w:type="dxa"/>
            <w:shd w:val="clear" w:color="auto" w:fill="auto"/>
            <w:noWrap/>
            <w:vAlign w:val="bottom"/>
            <w:hideMark/>
          </w:tcPr>
          <w:p w14:paraId="20F1569B" w14:textId="77777777" w:rsidR="00FE6794" w:rsidRPr="007E7B07" w:rsidRDefault="00FE6794" w:rsidP="00FE6794">
            <w:pPr>
              <w:spacing w:after="0" w:line="240" w:lineRule="auto"/>
              <w:rPr>
                <w:rFonts w:ascii="Calibri" w:eastAsia="Times New Roman" w:hAnsi="Calibri" w:cs="Calibri"/>
                <w:color w:val="000000"/>
                <w:sz w:val="20"/>
                <w:szCs w:val="20"/>
              </w:rPr>
            </w:pPr>
            <w:r w:rsidRPr="007E7B07">
              <w:rPr>
                <w:rFonts w:ascii="Calibri" w:eastAsia="Times New Roman" w:hAnsi="Calibri" w:cs="Calibri"/>
                <w:color w:val="000000"/>
                <w:sz w:val="20"/>
                <w:szCs w:val="20"/>
              </w:rPr>
              <w:t>Baseline</w:t>
            </w:r>
          </w:p>
        </w:tc>
        <w:tc>
          <w:tcPr>
            <w:tcW w:w="1170" w:type="dxa"/>
            <w:vAlign w:val="bottom"/>
          </w:tcPr>
          <w:p w14:paraId="65942A5C" w14:textId="77777777" w:rsidR="00FE6794" w:rsidRPr="007E7B07" w:rsidRDefault="00FE6794" w:rsidP="00FE6794">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9</w:t>
            </w:r>
          </w:p>
        </w:tc>
        <w:tc>
          <w:tcPr>
            <w:tcW w:w="1180" w:type="dxa"/>
            <w:shd w:val="clear" w:color="auto" w:fill="auto"/>
            <w:noWrap/>
            <w:vAlign w:val="bottom"/>
            <w:hideMark/>
          </w:tcPr>
          <w:p w14:paraId="0029F227" w14:textId="77777777" w:rsidR="00FE6794" w:rsidRPr="007E7B07" w:rsidRDefault="00FE6794" w:rsidP="00FE6794">
            <w:pPr>
              <w:spacing w:after="0" w:line="240" w:lineRule="auto"/>
              <w:jc w:val="right"/>
              <w:rPr>
                <w:rFonts w:ascii="Calibri" w:eastAsia="Times New Roman" w:hAnsi="Calibri" w:cs="Calibri"/>
                <w:color w:val="000000"/>
                <w:sz w:val="20"/>
                <w:szCs w:val="20"/>
              </w:rPr>
            </w:pPr>
            <w:r w:rsidRPr="007E7B07">
              <w:rPr>
                <w:rFonts w:ascii="Calibri" w:eastAsia="Times New Roman" w:hAnsi="Calibri" w:cs="Calibri"/>
                <w:color w:val="000000"/>
                <w:sz w:val="20"/>
                <w:szCs w:val="20"/>
              </w:rPr>
              <w:t>$3,460</w:t>
            </w:r>
          </w:p>
        </w:tc>
        <w:tc>
          <w:tcPr>
            <w:tcW w:w="960" w:type="dxa"/>
            <w:shd w:val="clear" w:color="auto" w:fill="auto"/>
            <w:noWrap/>
            <w:vAlign w:val="bottom"/>
            <w:hideMark/>
          </w:tcPr>
          <w:p w14:paraId="643B76C4" w14:textId="77777777" w:rsidR="00FE6794" w:rsidRPr="007E7B07" w:rsidRDefault="00FE6794" w:rsidP="00FE6794">
            <w:pPr>
              <w:spacing w:after="0" w:line="240" w:lineRule="auto"/>
              <w:jc w:val="right"/>
              <w:rPr>
                <w:rFonts w:ascii="Calibri" w:eastAsia="Times New Roman" w:hAnsi="Calibri" w:cs="Calibri"/>
                <w:color w:val="000000"/>
                <w:sz w:val="20"/>
                <w:szCs w:val="20"/>
              </w:rPr>
            </w:pPr>
            <w:r w:rsidRPr="007E7B07">
              <w:rPr>
                <w:rFonts w:ascii="Calibri" w:eastAsia="Times New Roman" w:hAnsi="Calibri" w:cs="Calibri"/>
                <w:color w:val="000000"/>
                <w:sz w:val="20"/>
                <w:szCs w:val="20"/>
              </w:rPr>
              <w:t>23%</w:t>
            </w:r>
          </w:p>
        </w:tc>
      </w:tr>
      <w:tr w:rsidR="00FE6794" w:rsidRPr="007E7B07" w14:paraId="0EC95E9A" w14:textId="77777777" w:rsidTr="00053D66">
        <w:tc>
          <w:tcPr>
            <w:tcW w:w="2690" w:type="dxa"/>
            <w:shd w:val="clear" w:color="auto" w:fill="auto"/>
            <w:noWrap/>
            <w:vAlign w:val="bottom"/>
            <w:hideMark/>
          </w:tcPr>
          <w:p w14:paraId="6399FF2B" w14:textId="77777777" w:rsidR="00FE6794" w:rsidRPr="007E7B07" w:rsidRDefault="00FE6794" w:rsidP="00FE6794">
            <w:pPr>
              <w:spacing w:after="0" w:line="240" w:lineRule="auto"/>
              <w:rPr>
                <w:rFonts w:ascii="Calibri" w:eastAsia="Times New Roman" w:hAnsi="Calibri" w:cs="Calibri"/>
                <w:color w:val="000000"/>
                <w:sz w:val="20"/>
                <w:szCs w:val="20"/>
              </w:rPr>
            </w:pPr>
            <w:r w:rsidRPr="007E7B07">
              <w:rPr>
                <w:rFonts w:ascii="Calibri" w:eastAsia="Times New Roman" w:hAnsi="Calibri" w:cs="Calibri"/>
                <w:color w:val="000000"/>
                <w:sz w:val="20"/>
                <w:szCs w:val="20"/>
              </w:rPr>
              <w:t>Impact or Impact/Process</w:t>
            </w:r>
            <w:r>
              <w:rPr>
                <w:rFonts w:ascii="Calibri" w:eastAsia="Times New Roman" w:hAnsi="Calibri" w:cs="Calibri"/>
                <w:color w:val="000000"/>
                <w:sz w:val="20"/>
                <w:szCs w:val="20"/>
              </w:rPr>
              <w:t>**</w:t>
            </w:r>
            <w:r w:rsidRPr="007E7B07">
              <w:rPr>
                <w:rFonts w:ascii="Calibri" w:eastAsia="Times New Roman" w:hAnsi="Calibri" w:cs="Calibri"/>
                <w:color w:val="000000"/>
                <w:sz w:val="20"/>
                <w:szCs w:val="20"/>
              </w:rPr>
              <w:t xml:space="preserve"> </w:t>
            </w:r>
          </w:p>
        </w:tc>
        <w:tc>
          <w:tcPr>
            <w:tcW w:w="1170" w:type="dxa"/>
            <w:vAlign w:val="bottom"/>
          </w:tcPr>
          <w:p w14:paraId="25DF0A09" w14:textId="77777777" w:rsidR="00FE6794" w:rsidRPr="007E7B07" w:rsidRDefault="00FE6794" w:rsidP="00FE6794">
            <w:pPr>
              <w:spacing w:after="0" w:line="240" w:lineRule="auto"/>
              <w:jc w:val="center"/>
              <w:rPr>
                <w:rFonts w:ascii="Calibri" w:eastAsia="Times New Roman" w:hAnsi="Calibri" w:cs="Calibri"/>
                <w:color w:val="000000"/>
                <w:sz w:val="20"/>
                <w:szCs w:val="20"/>
              </w:rPr>
            </w:pPr>
            <w:r>
              <w:rPr>
                <w:rFonts w:ascii="Calibri" w:eastAsia="Times New Roman" w:hAnsi="Calibri" w:cs="Calibri"/>
                <w:i/>
                <w:iCs/>
                <w:color w:val="000000"/>
                <w:sz w:val="20"/>
                <w:szCs w:val="20"/>
              </w:rPr>
              <w:t>10</w:t>
            </w:r>
          </w:p>
        </w:tc>
        <w:tc>
          <w:tcPr>
            <w:tcW w:w="1180" w:type="dxa"/>
            <w:shd w:val="clear" w:color="auto" w:fill="auto"/>
            <w:noWrap/>
            <w:vAlign w:val="bottom"/>
            <w:hideMark/>
          </w:tcPr>
          <w:p w14:paraId="7890C6F2" w14:textId="77777777" w:rsidR="00FE6794" w:rsidRPr="007E7B07" w:rsidRDefault="00FE6794" w:rsidP="00FE6794">
            <w:pPr>
              <w:spacing w:after="0" w:line="240" w:lineRule="auto"/>
              <w:jc w:val="right"/>
              <w:rPr>
                <w:rFonts w:ascii="Calibri" w:eastAsia="Times New Roman" w:hAnsi="Calibri" w:cs="Calibri"/>
                <w:color w:val="000000"/>
                <w:sz w:val="20"/>
                <w:szCs w:val="20"/>
              </w:rPr>
            </w:pPr>
            <w:r w:rsidRPr="007E7B07">
              <w:rPr>
                <w:rFonts w:ascii="Calibri" w:eastAsia="Times New Roman" w:hAnsi="Calibri" w:cs="Calibri"/>
                <w:color w:val="000000"/>
                <w:sz w:val="20"/>
                <w:szCs w:val="20"/>
              </w:rPr>
              <w:t>$3,850</w:t>
            </w:r>
          </w:p>
        </w:tc>
        <w:tc>
          <w:tcPr>
            <w:tcW w:w="960" w:type="dxa"/>
            <w:shd w:val="clear" w:color="auto" w:fill="auto"/>
            <w:noWrap/>
            <w:vAlign w:val="bottom"/>
            <w:hideMark/>
          </w:tcPr>
          <w:p w14:paraId="652D1D49" w14:textId="77777777" w:rsidR="00FE6794" w:rsidRPr="007E7B07" w:rsidRDefault="00FE6794" w:rsidP="00FE6794">
            <w:pPr>
              <w:spacing w:after="0" w:line="240" w:lineRule="auto"/>
              <w:jc w:val="right"/>
              <w:rPr>
                <w:rFonts w:ascii="Calibri" w:eastAsia="Times New Roman" w:hAnsi="Calibri" w:cs="Calibri"/>
                <w:color w:val="000000"/>
                <w:sz w:val="20"/>
                <w:szCs w:val="20"/>
              </w:rPr>
            </w:pPr>
            <w:r w:rsidRPr="007E7B07">
              <w:rPr>
                <w:rFonts w:ascii="Calibri" w:eastAsia="Times New Roman" w:hAnsi="Calibri" w:cs="Calibri"/>
                <w:color w:val="000000"/>
                <w:sz w:val="20"/>
                <w:szCs w:val="20"/>
              </w:rPr>
              <w:t>26%</w:t>
            </w:r>
          </w:p>
        </w:tc>
      </w:tr>
      <w:tr w:rsidR="00FE6794" w:rsidRPr="007E7B07" w14:paraId="5768E524" w14:textId="77777777" w:rsidTr="00053D66">
        <w:tc>
          <w:tcPr>
            <w:tcW w:w="2690" w:type="dxa"/>
            <w:shd w:val="clear" w:color="auto" w:fill="auto"/>
            <w:noWrap/>
            <w:vAlign w:val="bottom"/>
            <w:hideMark/>
          </w:tcPr>
          <w:p w14:paraId="5E3EEEB1" w14:textId="77777777" w:rsidR="00FE6794" w:rsidRPr="007E7B07" w:rsidRDefault="00FE6794" w:rsidP="00FE6794">
            <w:pPr>
              <w:spacing w:after="0" w:line="240" w:lineRule="auto"/>
              <w:rPr>
                <w:rFonts w:ascii="Calibri" w:eastAsia="Times New Roman" w:hAnsi="Calibri" w:cs="Calibri"/>
                <w:color w:val="000000"/>
                <w:sz w:val="20"/>
                <w:szCs w:val="20"/>
              </w:rPr>
            </w:pPr>
            <w:r w:rsidRPr="007E7B07">
              <w:rPr>
                <w:rFonts w:ascii="Calibri" w:eastAsia="Times New Roman" w:hAnsi="Calibri" w:cs="Calibri"/>
                <w:color w:val="000000"/>
                <w:sz w:val="20"/>
                <w:szCs w:val="20"/>
              </w:rPr>
              <w:t xml:space="preserve">Process </w:t>
            </w:r>
          </w:p>
        </w:tc>
        <w:tc>
          <w:tcPr>
            <w:tcW w:w="1170" w:type="dxa"/>
            <w:vAlign w:val="bottom"/>
          </w:tcPr>
          <w:p w14:paraId="2F57F7B6" w14:textId="77777777" w:rsidR="00FE6794" w:rsidRPr="007E7B07" w:rsidRDefault="00FE6794" w:rsidP="00FE6794">
            <w:pPr>
              <w:spacing w:after="0" w:line="240" w:lineRule="auto"/>
              <w:jc w:val="center"/>
              <w:rPr>
                <w:rFonts w:ascii="Calibri" w:eastAsia="Times New Roman" w:hAnsi="Calibri" w:cs="Calibri"/>
                <w:color w:val="000000"/>
                <w:sz w:val="20"/>
                <w:szCs w:val="20"/>
              </w:rPr>
            </w:pPr>
            <w:r>
              <w:rPr>
                <w:rFonts w:ascii="Calibri" w:eastAsia="Times New Roman" w:hAnsi="Calibri" w:cs="Calibri"/>
                <w:i/>
                <w:iCs/>
                <w:color w:val="000000"/>
                <w:sz w:val="20"/>
                <w:szCs w:val="20"/>
              </w:rPr>
              <w:t>5</w:t>
            </w:r>
          </w:p>
        </w:tc>
        <w:tc>
          <w:tcPr>
            <w:tcW w:w="1180" w:type="dxa"/>
            <w:shd w:val="clear" w:color="auto" w:fill="auto"/>
            <w:noWrap/>
            <w:vAlign w:val="bottom"/>
            <w:hideMark/>
          </w:tcPr>
          <w:p w14:paraId="5CC6BACF" w14:textId="77777777" w:rsidR="00FE6794" w:rsidRPr="007E7B07" w:rsidRDefault="00FE6794" w:rsidP="00FE6794">
            <w:pPr>
              <w:spacing w:after="0" w:line="240" w:lineRule="auto"/>
              <w:jc w:val="right"/>
              <w:rPr>
                <w:rFonts w:ascii="Calibri" w:eastAsia="Times New Roman" w:hAnsi="Calibri" w:cs="Calibri"/>
                <w:color w:val="000000"/>
                <w:sz w:val="20"/>
                <w:szCs w:val="20"/>
              </w:rPr>
            </w:pPr>
            <w:r w:rsidRPr="007E7B07">
              <w:rPr>
                <w:rFonts w:ascii="Calibri" w:eastAsia="Times New Roman" w:hAnsi="Calibri" w:cs="Calibri"/>
                <w:color w:val="000000"/>
                <w:sz w:val="20"/>
                <w:szCs w:val="20"/>
              </w:rPr>
              <w:t>$1,275</w:t>
            </w:r>
          </w:p>
        </w:tc>
        <w:tc>
          <w:tcPr>
            <w:tcW w:w="960" w:type="dxa"/>
            <w:shd w:val="clear" w:color="auto" w:fill="auto"/>
            <w:noWrap/>
            <w:vAlign w:val="bottom"/>
            <w:hideMark/>
          </w:tcPr>
          <w:p w14:paraId="4EF99228" w14:textId="77777777" w:rsidR="00FE6794" w:rsidRPr="007E7B07" w:rsidRDefault="00FE6794" w:rsidP="00FE6794">
            <w:pPr>
              <w:spacing w:after="0" w:line="240" w:lineRule="auto"/>
              <w:jc w:val="right"/>
              <w:rPr>
                <w:rFonts w:ascii="Calibri" w:eastAsia="Times New Roman" w:hAnsi="Calibri" w:cs="Calibri"/>
                <w:color w:val="000000"/>
                <w:sz w:val="20"/>
                <w:szCs w:val="20"/>
              </w:rPr>
            </w:pPr>
            <w:r w:rsidRPr="007E7B07">
              <w:rPr>
                <w:rFonts w:ascii="Calibri" w:eastAsia="Times New Roman" w:hAnsi="Calibri" w:cs="Calibri"/>
                <w:color w:val="000000"/>
                <w:sz w:val="20"/>
                <w:szCs w:val="20"/>
              </w:rPr>
              <w:t>9%</w:t>
            </w:r>
          </w:p>
        </w:tc>
      </w:tr>
      <w:tr w:rsidR="00FE6794" w:rsidRPr="007E7B07" w14:paraId="1E99CA6D" w14:textId="77777777" w:rsidTr="00053D66">
        <w:tc>
          <w:tcPr>
            <w:tcW w:w="2690" w:type="dxa"/>
            <w:shd w:val="clear" w:color="auto" w:fill="auto"/>
            <w:noWrap/>
            <w:vAlign w:val="bottom"/>
            <w:hideMark/>
          </w:tcPr>
          <w:p w14:paraId="6E2B8365" w14:textId="77777777" w:rsidR="00FE6794" w:rsidRPr="007E7B07" w:rsidRDefault="00FE6794" w:rsidP="00FE6794">
            <w:pPr>
              <w:spacing w:after="0" w:line="240" w:lineRule="auto"/>
              <w:rPr>
                <w:rFonts w:ascii="Calibri" w:eastAsia="Times New Roman" w:hAnsi="Calibri" w:cs="Calibri"/>
                <w:color w:val="000000"/>
                <w:sz w:val="20"/>
                <w:szCs w:val="20"/>
              </w:rPr>
            </w:pPr>
            <w:r w:rsidRPr="007E7B07">
              <w:rPr>
                <w:rFonts w:ascii="Calibri" w:eastAsia="Times New Roman" w:hAnsi="Calibri" w:cs="Calibri"/>
                <w:color w:val="000000"/>
                <w:sz w:val="20"/>
                <w:szCs w:val="20"/>
              </w:rPr>
              <w:t xml:space="preserve">PSD </w:t>
            </w:r>
          </w:p>
        </w:tc>
        <w:tc>
          <w:tcPr>
            <w:tcW w:w="1170" w:type="dxa"/>
            <w:vAlign w:val="bottom"/>
          </w:tcPr>
          <w:p w14:paraId="165CBA6C" w14:textId="77777777" w:rsidR="00FE6794" w:rsidRPr="007E7B07" w:rsidRDefault="00FE6794" w:rsidP="00FE6794">
            <w:pPr>
              <w:spacing w:after="0" w:line="240" w:lineRule="auto"/>
              <w:jc w:val="center"/>
              <w:rPr>
                <w:rFonts w:ascii="Calibri" w:eastAsia="Times New Roman" w:hAnsi="Calibri" w:cs="Calibri"/>
                <w:color w:val="000000"/>
                <w:sz w:val="20"/>
                <w:szCs w:val="20"/>
              </w:rPr>
            </w:pPr>
            <w:r>
              <w:rPr>
                <w:rFonts w:ascii="Calibri" w:eastAsia="Times New Roman" w:hAnsi="Calibri" w:cs="Calibri"/>
                <w:i/>
                <w:iCs/>
                <w:color w:val="000000"/>
                <w:sz w:val="20"/>
                <w:szCs w:val="20"/>
              </w:rPr>
              <w:t>4</w:t>
            </w:r>
          </w:p>
        </w:tc>
        <w:tc>
          <w:tcPr>
            <w:tcW w:w="1180" w:type="dxa"/>
            <w:shd w:val="clear" w:color="auto" w:fill="auto"/>
            <w:noWrap/>
            <w:vAlign w:val="bottom"/>
            <w:hideMark/>
          </w:tcPr>
          <w:p w14:paraId="7E68771B" w14:textId="77777777" w:rsidR="00FE6794" w:rsidRPr="007E7B07" w:rsidRDefault="00FE6794" w:rsidP="00FE6794">
            <w:pPr>
              <w:spacing w:after="0" w:line="240" w:lineRule="auto"/>
              <w:jc w:val="right"/>
              <w:rPr>
                <w:rFonts w:ascii="Calibri" w:eastAsia="Times New Roman" w:hAnsi="Calibri" w:cs="Calibri"/>
                <w:color w:val="000000"/>
                <w:sz w:val="20"/>
                <w:szCs w:val="20"/>
              </w:rPr>
            </w:pPr>
            <w:r w:rsidRPr="007E7B07">
              <w:rPr>
                <w:rFonts w:ascii="Calibri" w:eastAsia="Times New Roman" w:hAnsi="Calibri" w:cs="Calibri"/>
                <w:color w:val="000000"/>
                <w:sz w:val="20"/>
                <w:szCs w:val="20"/>
              </w:rPr>
              <w:t>$750</w:t>
            </w:r>
          </w:p>
        </w:tc>
        <w:tc>
          <w:tcPr>
            <w:tcW w:w="960" w:type="dxa"/>
            <w:shd w:val="clear" w:color="auto" w:fill="auto"/>
            <w:noWrap/>
            <w:vAlign w:val="bottom"/>
            <w:hideMark/>
          </w:tcPr>
          <w:p w14:paraId="08AE37A8" w14:textId="77777777" w:rsidR="00FE6794" w:rsidRPr="007E7B07" w:rsidRDefault="00FE6794" w:rsidP="00FE6794">
            <w:pPr>
              <w:spacing w:after="0" w:line="240" w:lineRule="auto"/>
              <w:jc w:val="right"/>
              <w:rPr>
                <w:rFonts w:ascii="Calibri" w:eastAsia="Times New Roman" w:hAnsi="Calibri" w:cs="Calibri"/>
                <w:color w:val="000000"/>
                <w:sz w:val="20"/>
                <w:szCs w:val="20"/>
              </w:rPr>
            </w:pPr>
            <w:r w:rsidRPr="007E7B07">
              <w:rPr>
                <w:rFonts w:ascii="Calibri" w:eastAsia="Times New Roman" w:hAnsi="Calibri" w:cs="Calibri"/>
                <w:color w:val="000000"/>
                <w:sz w:val="20"/>
                <w:szCs w:val="20"/>
              </w:rPr>
              <w:t>5%</w:t>
            </w:r>
          </w:p>
        </w:tc>
      </w:tr>
      <w:tr w:rsidR="00FE6794" w:rsidRPr="007E7B07" w14:paraId="68480DB0" w14:textId="77777777" w:rsidTr="00053D66">
        <w:tc>
          <w:tcPr>
            <w:tcW w:w="2690" w:type="dxa"/>
            <w:shd w:val="clear" w:color="auto" w:fill="auto"/>
            <w:noWrap/>
            <w:vAlign w:val="bottom"/>
            <w:hideMark/>
          </w:tcPr>
          <w:p w14:paraId="0CF77963" w14:textId="77777777" w:rsidR="00FE6794" w:rsidRPr="007E7B07" w:rsidRDefault="00FE6794" w:rsidP="00FE6794">
            <w:pPr>
              <w:spacing w:after="0" w:line="240" w:lineRule="auto"/>
              <w:rPr>
                <w:rFonts w:ascii="Calibri" w:eastAsia="Times New Roman" w:hAnsi="Calibri" w:cs="Calibri"/>
                <w:color w:val="000000"/>
                <w:sz w:val="20"/>
                <w:szCs w:val="20"/>
              </w:rPr>
            </w:pPr>
            <w:r w:rsidRPr="007E7B07">
              <w:rPr>
                <w:rFonts w:ascii="Calibri" w:eastAsia="Times New Roman" w:hAnsi="Calibri" w:cs="Calibri"/>
                <w:color w:val="000000"/>
                <w:sz w:val="20"/>
                <w:szCs w:val="20"/>
              </w:rPr>
              <w:t xml:space="preserve">Topics </w:t>
            </w:r>
          </w:p>
        </w:tc>
        <w:tc>
          <w:tcPr>
            <w:tcW w:w="1170" w:type="dxa"/>
            <w:vAlign w:val="bottom"/>
          </w:tcPr>
          <w:p w14:paraId="0CF890E0" w14:textId="77777777" w:rsidR="00FE6794" w:rsidRPr="007E7B07" w:rsidRDefault="00FE6794" w:rsidP="00FE6794">
            <w:pPr>
              <w:spacing w:after="0" w:line="240" w:lineRule="auto"/>
              <w:jc w:val="center"/>
              <w:rPr>
                <w:rFonts w:ascii="Calibri" w:eastAsia="Times New Roman" w:hAnsi="Calibri" w:cs="Calibri"/>
                <w:color w:val="000000"/>
                <w:sz w:val="20"/>
                <w:szCs w:val="20"/>
              </w:rPr>
            </w:pPr>
            <w:r>
              <w:rPr>
                <w:rFonts w:ascii="Calibri" w:eastAsia="Times New Roman" w:hAnsi="Calibri" w:cs="Calibri"/>
                <w:i/>
                <w:iCs/>
                <w:color w:val="000000"/>
                <w:sz w:val="20"/>
                <w:szCs w:val="20"/>
              </w:rPr>
              <w:t>17</w:t>
            </w:r>
          </w:p>
        </w:tc>
        <w:tc>
          <w:tcPr>
            <w:tcW w:w="1180" w:type="dxa"/>
            <w:shd w:val="clear" w:color="auto" w:fill="auto"/>
            <w:noWrap/>
            <w:vAlign w:val="bottom"/>
            <w:hideMark/>
          </w:tcPr>
          <w:p w14:paraId="36DAA6E9" w14:textId="77777777" w:rsidR="00FE6794" w:rsidRPr="007E7B07" w:rsidRDefault="00FE6794" w:rsidP="00FE6794">
            <w:pPr>
              <w:spacing w:after="0" w:line="240" w:lineRule="auto"/>
              <w:jc w:val="right"/>
              <w:rPr>
                <w:rFonts w:ascii="Calibri" w:eastAsia="Times New Roman" w:hAnsi="Calibri" w:cs="Calibri"/>
                <w:color w:val="000000"/>
                <w:sz w:val="20"/>
                <w:szCs w:val="20"/>
              </w:rPr>
            </w:pPr>
            <w:r w:rsidRPr="007E7B07">
              <w:rPr>
                <w:rFonts w:ascii="Calibri" w:eastAsia="Times New Roman" w:hAnsi="Calibri" w:cs="Calibri"/>
                <w:color w:val="000000"/>
                <w:sz w:val="20"/>
                <w:szCs w:val="20"/>
              </w:rPr>
              <w:t>$5,440</w:t>
            </w:r>
          </w:p>
        </w:tc>
        <w:tc>
          <w:tcPr>
            <w:tcW w:w="960" w:type="dxa"/>
            <w:shd w:val="clear" w:color="auto" w:fill="auto"/>
            <w:noWrap/>
            <w:vAlign w:val="bottom"/>
            <w:hideMark/>
          </w:tcPr>
          <w:p w14:paraId="7D4201B2" w14:textId="77777777" w:rsidR="00FE6794" w:rsidRPr="007E7B07" w:rsidRDefault="00FE6794" w:rsidP="00FE6794">
            <w:pPr>
              <w:spacing w:after="0" w:line="240" w:lineRule="auto"/>
              <w:jc w:val="right"/>
              <w:rPr>
                <w:rFonts w:ascii="Calibri" w:eastAsia="Times New Roman" w:hAnsi="Calibri" w:cs="Calibri"/>
                <w:color w:val="000000"/>
                <w:sz w:val="20"/>
                <w:szCs w:val="20"/>
              </w:rPr>
            </w:pPr>
            <w:r w:rsidRPr="007E7B07">
              <w:rPr>
                <w:rFonts w:ascii="Calibri" w:eastAsia="Times New Roman" w:hAnsi="Calibri" w:cs="Calibri"/>
                <w:color w:val="000000"/>
                <w:sz w:val="20"/>
                <w:szCs w:val="20"/>
              </w:rPr>
              <w:t>37%</w:t>
            </w:r>
          </w:p>
        </w:tc>
      </w:tr>
      <w:tr w:rsidR="00FE6794" w:rsidRPr="007E7B07" w14:paraId="5BD1227E" w14:textId="77777777" w:rsidTr="00053D66">
        <w:trPr>
          <w:trHeight w:val="270"/>
        </w:trPr>
        <w:tc>
          <w:tcPr>
            <w:tcW w:w="2690" w:type="dxa"/>
            <w:shd w:val="clear" w:color="auto" w:fill="auto"/>
            <w:noWrap/>
            <w:vAlign w:val="bottom"/>
          </w:tcPr>
          <w:p w14:paraId="2F41F4E0" w14:textId="77777777" w:rsidR="00FE6794" w:rsidRPr="007E7B07" w:rsidRDefault="00FE6794" w:rsidP="00FE67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Total</w:t>
            </w:r>
          </w:p>
        </w:tc>
        <w:tc>
          <w:tcPr>
            <w:tcW w:w="1170" w:type="dxa"/>
          </w:tcPr>
          <w:p w14:paraId="105C0A59" w14:textId="77777777" w:rsidR="00FE6794" w:rsidRPr="007E7B07" w:rsidRDefault="00FE6794" w:rsidP="00FE6794">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45</w:t>
            </w:r>
          </w:p>
        </w:tc>
        <w:tc>
          <w:tcPr>
            <w:tcW w:w="1180" w:type="dxa"/>
            <w:shd w:val="clear" w:color="auto" w:fill="auto"/>
            <w:noWrap/>
            <w:vAlign w:val="bottom"/>
          </w:tcPr>
          <w:p w14:paraId="3605AB0F" w14:textId="77777777" w:rsidR="00FE6794" w:rsidRPr="007E7B07" w:rsidRDefault="00FE6794" w:rsidP="00FE6794">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$14,775</w:t>
            </w:r>
          </w:p>
        </w:tc>
        <w:tc>
          <w:tcPr>
            <w:tcW w:w="960" w:type="dxa"/>
            <w:shd w:val="clear" w:color="auto" w:fill="auto"/>
            <w:noWrap/>
            <w:vAlign w:val="bottom"/>
          </w:tcPr>
          <w:p w14:paraId="1280372B" w14:textId="77777777" w:rsidR="00FE6794" w:rsidRPr="007E7B07" w:rsidRDefault="00FE6794" w:rsidP="00FE6794">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100%</w:t>
            </w:r>
          </w:p>
        </w:tc>
      </w:tr>
    </w:tbl>
    <w:p w14:paraId="7E895229" w14:textId="77777777" w:rsidR="00B4084F" w:rsidRDefault="00FE6794" w:rsidP="00BF6B77">
      <w:pPr>
        <w:spacing w:after="0" w:line="240" w:lineRule="auto"/>
        <w:rPr>
          <w:rFonts w:ascii="Calibri" w:eastAsia="Times New Roman" w:hAnsi="Calibri" w:cs="Calibri"/>
          <w:i/>
          <w:iCs/>
          <w:color w:val="000000"/>
          <w:sz w:val="18"/>
          <w:szCs w:val="18"/>
        </w:rPr>
      </w:pPr>
      <w:r w:rsidRPr="0061011F">
        <w:rPr>
          <w:rFonts w:ascii="Calibri" w:eastAsia="Times New Roman" w:hAnsi="Calibri" w:cs="Calibri"/>
          <w:i/>
          <w:iCs/>
          <w:color w:val="000000"/>
          <w:sz w:val="18"/>
          <w:szCs w:val="18"/>
        </w:rPr>
        <w:t xml:space="preserve">(**) Table Note: </w:t>
      </w:r>
      <w:r w:rsidRPr="007E7B07">
        <w:rPr>
          <w:rFonts w:ascii="Calibri" w:eastAsia="Times New Roman" w:hAnsi="Calibri" w:cs="Calibri"/>
          <w:i/>
          <w:iCs/>
          <w:color w:val="000000"/>
          <w:sz w:val="18"/>
          <w:szCs w:val="18"/>
        </w:rPr>
        <w:t>$5.025*</w:t>
      </w:r>
      <w:r w:rsidRPr="0061011F">
        <w:rPr>
          <w:rFonts w:ascii="Calibri" w:eastAsia="Times New Roman" w:hAnsi="Calibri" w:cs="Calibri"/>
          <w:i/>
          <w:iCs/>
          <w:color w:val="000000"/>
          <w:sz w:val="18"/>
          <w:szCs w:val="18"/>
        </w:rPr>
        <w:t xml:space="preserve"> is the budget </w:t>
      </w:r>
      <w:r w:rsidR="00BF6B77">
        <w:rPr>
          <w:rFonts w:ascii="Calibri" w:eastAsia="Times New Roman" w:hAnsi="Calibri" w:cs="Calibri"/>
          <w:i/>
          <w:iCs/>
          <w:color w:val="000000"/>
          <w:sz w:val="18"/>
          <w:szCs w:val="18"/>
        </w:rPr>
        <w:t xml:space="preserve">for impact if we </w:t>
      </w:r>
      <w:r w:rsidRPr="0061011F">
        <w:rPr>
          <w:rFonts w:ascii="Calibri" w:eastAsia="Times New Roman" w:hAnsi="Calibri" w:cs="Calibri"/>
          <w:i/>
          <w:iCs/>
          <w:color w:val="000000"/>
          <w:sz w:val="18"/>
          <w:szCs w:val="18"/>
        </w:rPr>
        <w:t>includ</w:t>
      </w:r>
      <w:r w:rsidR="00BF6B77">
        <w:rPr>
          <w:rFonts w:ascii="Calibri" w:eastAsia="Times New Roman" w:hAnsi="Calibri" w:cs="Calibri"/>
          <w:i/>
          <w:iCs/>
          <w:color w:val="000000"/>
          <w:sz w:val="18"/>
          <w:szCs w:val="18"/>
        </w:rPr>
        <w:t>e</w:t>
      </w:r>
      <w:r w:rsidRPr="0061011F">
        <w:rPr>
          <w:rFonts w:ascii="Calibri" w:eastAsia="Times New Roman" w:hAnsi="Calibri" w:cs="Calibri"/>
          <w:i/>
          <w:iCs/>
          <w:color w:val="000000"/>
          <w:sz w:val="18"/>
          <w:szCs w:val="18"/>
        </w:rPr>
        <w:t xml:space="preserve"> the 2</w:t>
      </w:r>
      <w:r w:rsidRPr="0061011F">
        <w:rPr>
          <w:rFonts w:ascii="Calibri" w:eastAsia="Times New Roman" w:hAnsi="Calibri" w:cs="Calibri"/>
          <w:i/>
          <w:iCs/>
          <w:color w:val="000000"/>
          <w:sz w:val="18"/>
          <w:szCs w:val="18"/>
          <w:vertAlign w:val="superscript"/>
        </w:rPr>
        <w:t>nd</w:t>
      </w:r>
      <w:r w:rsidRPr="0061011F">
        <w:rPr>
          <w:rFonts w:ascii="Calibri" w:eastAsia="Times New Roman" w:hAnsi="Calibri" w:cs="Calibri"/>
          <w:i/>
          <w:iCs/>
          <w:color w:val="000000"/>
          <w:sz w:val="18"/>
          <w:szCs w:val="18"/>
        </w:rPr>
        <w:t xml:space="preserve"> half of two </w:t>
      </w:r>
    </w:p>
    <w:p w14:paraId="480ADDB0" w14:textId="77777777" w:rsidR="00B4084F" w:rsidRDefault="00FE6794" w:rsidP="00BF6B77">
      <w:pPr>
        <w:spacing w:after="0" w:line="240" w:lineRule="auto"/>
        <w:rPr>
          <w:rFonts w:ascii="Calibri" w:eastAsia="Times New Roman" w:hAnsi="Calibri" w:cs="Calibri"/>
          <w:i/>
          <w:iCs/>
          <w:color w:val="000000"/>
          <w:sz w:val="18"/>
          <w:szCs w:val="18"/>
        </w:rPr>
      </w:pPr>
      <w:r w:rsidRPr="0061011F">
        <w:rPr>
          <w:rFonts w:ascii="Calibri" w:eastAsia="Times New Roman" w:hAnsi="Calibri" w:cs="Calibri"/>
          <w:i/>
          <w:iCs/>
          <w:color w:val="000000"/>
          <w:sz w:val="18"/>
          <w:szCs w:val="18"/>
        </w:rPr>
        <w:t>large C&amp;I impact studies, which carry over to 2025, per FCM timing needs</w:t>
      </w:r>
      <w:r w:rsidRPr="007E7B07">
        <w:rPr>
          <w:rFonts w:ascii="Calibri" w:eastAsia="Times New Roman" w:hAnsi="Calibri" w:cs="Calibri"/>
          <w:i/>
          <w:iCs/>
          <w:color w:val="000000"/>
          <w:sz w:val="18"/>
          <w:szCs w:val="18"/>
        </w:rPr>
        <w:t>)</w:t>
      </w:r>
      <w:r w:rsidR="00BF6B77">
        <w:rPr>
          <w:rFonts w:ascii="Calibri" w:eastAsia="Times New Roman" w:hAnsi="Calibri" w:cs="Calibri"/>
          <w:i/>
          <w:iCs/>
          <w:color w:val="000000"/>
          <w:sz w:val="18"/>
          <w:szCs w:val="18"/>
        </w:rPr>
        <w:t xml:space="preserve">. </w:t>
      </w:r>
    </w:p>
    <w:p w14:paraId="0A2D7202" w14:textId="2E748B25" w:rsidR="00FE6794" w:rsidRPr="0061011F" w:rsidRDefault="00BF6B77" w:rsidP="00BF6B77">
      <w:pPr>
        <w:spacing w:after="0" w:line="240" w:lineRule="auto"/>
        <w:rPr>
          <w:b/>
          <w:bCs/>
          <w:i/>
          <w:iCs/>
          <w:sz w:val="20"/>
          <w:szCs w:val="20"/>
        </w:rPr>
      </w:pPr>
      <w:r>
        <w:rPr>
          <w:rFonts w:ascii="Calibri" w:eastAsia="Times New Roman" w:hAnsi="Calibri" w:cs="Calibri"/>
          <w:i/>
          <w:iCs/>
          <w:color w:val="000000"/>
          <w:sz w:val="18"/>
          <w:szCs w:val="18"/>
        </w:rPr>
        <w:t>That budget is not in this plan.</w:t>
      </w:r>
    </w:p>
    <w:p w14:paraId="061B0B69" w14:textId="6165495C" w:rsidR="00C8178A" w:rsidRPr="00C8178A" w:rsidRDefault="00C8178A" w:rsidP="007B038E">
      <w:pPr>
        <w:spacing w:after="0"/>
        <w:rPr>
          <w:i/>
          <w:sz w:val="18"/>
          <w:szCs w:val="20"/>
        </w:rPr>
      </w:pPr>
    </w:p>
    <w:p w14:paraId="7DE56037" w14:textId="347C1D24" w:rsidR="001A646C" w:rsidRPr="00F20E49" w:rsidRDefault="001A646C" w:rsidP="001A646C">
      <w:pPr>
        <w:spacing w:after="0"/>
        <w:rPr>
          <w:i/>
          <w:iCs/>
        </w:rPr>
      </w:pPr>
      <w:r w:rsidRPr="00E84B6F">
        <w:rPr>
          <w:b/>
          <w:bCs/>
          <w:i/>
          <w:iCs/>
          <w:color w:val="FF0000"/>
        </w:rPr>
        <w:t>Next Steps</w:t>
      </w:r>
      <w:r w:rsidRPr="00F20E49">
        <w:rPr>
          <w:i/>
          <w:iCs/>
        </w:rPr>
        <w:t>:  The remaining steps in the Plan Development / Approval process includes:</w:t>
      </w:r>
    </w:p>
    <w:p w14:paraId="6B48139D" w14:textId="0965A69F" w:rsidR="001A646C" w:rsidRPr="00F20E49" w:rsidRDefault="001A646C" w:rsidP="001A646C">
      <w:pPr>
        <w:pStyle w:val="ListParagraph"/>
        <w:numPr>
          <w:ilvl w:val="0"/>
          <w:numId w:val="1"/>
        </w:numPr>
        <w:spacing w:after="0"/>
        <w:rPr>
          <w:i/>
          <w:iCs/>
        </w:rPr>
      </w:pPr>
      <w:r w:rsidRPr="00F20E49">
        <w:rPr>
          <w:i/>
          <w:iCs/>
        </w:rPr>
        <w:t>The “Three Year Evaluation Budget and Plan”</w:t>
      </w:r>
      <w:r w:rsidR="00CC4DB1" w:rsidRPr="00F20E49">
        <w:rPr>
          <w:i/>
          <w:iCs/>
        </w:rPr>
        <w:t>, including EA Budget,</w:t>
      </w:r>
      <w:r w:rsidRPr="00F20E49">
        <w:rPr>
          <w:i/>
          <w:iCs/>
        </w:rPr>
        <w:t xml:space="preserve"> </w:t>
      </w:r>
      <w:r w:rsidR="00CC4DB1" w:rsidRPr="00F20E49">
        <w:rPr>
          <w:i/>
          <w:iCs/>
        </w:rPr>
        <w:t xml:space="preserve">has been </w:t>
      </w:r>
      <w:r w:rsidRPr="00F20E49">
        <w:rPr>
          <w:i/>
          <w:iCs/>
        </w:rPr>
        <w:t xml:space="preserve">voted on </w:t>
      </w:r>
      <w:r w:rsidR="00CC4DB1" w:rsidRPr="00F20E49">
        <w:rPr>
          <w:i/>
          <w:iCs/>
        </w:rPr>
        <w:t>and approved on December 17 by the Evaluation Committee</w:t>
      </w:r>
      <w:r w:rsidRPr="00F20E49">
        <w:rPr>
          <w:i/>
          <w:iCs/>
        </w:rPr>
        <w:t xml:space="preserve">.  </w:t>
      </w:r>
    </w:p>
    <w:p w14:paraId="472557FC" w14:textId="300A4DA3" w:rsidR="001A646C" w:rsidRPr="00F20E49" w:rsidRDefault="001A646C" w:rsidP="001A646C">
      <w:pPr>
        <w:pStyle w:val="ListParagraph"/>
        <w:numPr>
          <w:ilvl w:val="0"/>
          <w:numId w:val="1"/>
        </w:numPr>
        <w:spacing w:after="0"/>
        <w:rPr>
          <w:i/>
          <w:iCs/>
        </w:rPr>
      </w:pPr>
      <w:r w:rsidRPr="00F20E49">
        <w:rPr>
          <w:i/>
          <w:iCs/>
        </w:rPr>
        <w:t xml:space="preserve">The </w:t>
      </w:r>
      <w:r w:rsidR="00AF5783" w:rsidRPr="00F20E49">
        <w:rPr>
          <w:i/>
          <w:iCs/>
        </w:rPr>
        <w:t>Evaluation</w:t>
      </w:r>
      <w:r w:rsidRPr="00F20E49">
        <w:rPr>
          <w:i/>
          <w:iCs/>
        </w:rPr>
        <w:t xml:space="preserve"> Plan is presented to the EEB in January and the EEB votes on the Plan budget.</w:t>
      </w:r>
    </w:p>
    <w:p w14:paraId="7EAD3263" w14:textId="026C02E0" w:rsidR="001A646C" w:rsidRPr="00F20E49" w:rsidRDefault="001A646C" w:rsidP="001A646C">
      <w:pPr>
        <w:pStyle w:val="ListParagraph"/>
        <w:numPr>
          <w:ilvl w:val="0"/>
          <w:numId w:val="1"/>
        </w:numPr>
        <w:spacing w:after="0"/>
        <w:rPr>
          <w:i/>
          <w:iCs/>
        </w:rPr>
      </w:pPr>
      <w:r w:rsidRPr="00F20E49">
        <w:rPr>
          <w:i/>
          <w:iCs/>
        </w:rPr>
        <w:t xml:space="preserve">After vote, the EA Team finalizes the steps to issue the </w:t>
      </w:r>
      <w:r w:rsidR="00AF5783" w:rsidRPr="00F20E49">
        <w:rPr>
          <w:i/>
          <w:iCs/>
        </w:rPr>
        <w:t>Evaluation</w:t>
      </w:r>
      <w:r w:rsidRPr="00F20E49">
        <w:rPr>
          <w:i/>
          <w:iCs/>
        </w:rPr>
        <w:t xml:space="preserve"> Research Area RFP.</w:t>
      </w:r>
    </w:p>
    <w:p w14:paraId="32E6D58F" w14:textId="289BCB28" w:rsidR="007B038E" w:rsidRPr="00EE2B04" w:rsidRDefault="007B038E" w:rsidP="007B038E">
      <w:pPr>
        <w:spacing w:after="0"/>
        <w:rPr>
          <w:b/>
          <w:sz w:val="20"/>
          <w:szCs w:val="20"/>
        </w:rPr>
      </w:pPr>
    </w:p>
    <w:p w14:paraId="77407A5F" w14:textId="77777777" w:rsidR="009E7555" w:rsidRDefault="009E7555">
      <w:pPr>
        <w:rPr>
          <w:b/>
          <w:sz w:val="20"/>
          <w:szCs w:val="20"/>
        </w:rPr>
      </w:pPr>
      <w:r>
        <w:rPr>
          <w:b/>
          <w:sz w:val="20"/>
          <w:szCs w:val="20"/>
        </w:rPr>
        <w:br w:type="page"/>
      </w:r>
    </w:p>
    <w:p w14:paraId="2B881932" w14:textId="2D45E642" w:rsidR="007B038E" w:rsidRPr="0013709B" w:rsidRDefault="007B038E" w:rsidP="007B038E">
      <w:pPr>
        <w:spacing w:after="0"/>
        <w:rPr>
          <w:b/>
        </w:rPr>
      </w:pPr>
      <w:r w:rsidRPr="0013709B">
        <w:rPr>
          <w:b/>
        </w:rPr>
        <w:t>Figure A.</w:t>
      </w:r>
      <w:r w:rsidR="00301EFF">
        <w:rPr>
          <w:b/>
        </w:rPr>
        <w:t>4</w:t>
      </w:r>
      <w:r w:rsidRPr="0013709B">
        <w:rPr>
          <w:b/>
        </w:rPr>
        <w:t>:  Recommended Project List –Projects</w:t>
      </w:r>
      <w:r w:rsidR="009E7555" w:rsidRPr="0013709B">
        <w:rPr>
          <w:b/>
        </w:rPr>
        <w:t xml:space="preserve"> and </w:t>
      </w:r>
      <w:r w:rsidRPr="0013709B">
        <w:rPr>
          <w:b/>
        </w:rPr>
        <w:t xml:space="preserve">Budgets </w:t>
      </w:r>
    </w:p>
    <w:p w14:paraId="78C2EAA2" w14:textId="77777777" w:rsidR="00CA1BB6" w:rsidRDefault="007B038E" w:rsidP="007B038E">
      <w:pPr>
        <w:spacing w:after="0"/>
        <w:rPr>
          <w:i/>
          <w:sz w:val="20"/>
        </w:rPr>
      </w:pPr>
      <w:r>
        <w:rPr>
          <w:i/>
          <w:sz w:val="20"/>
        </w:rPr>
        <w:t xml:space="preserve"> (X-Cross-sector; C=Commercial; R=Residential)</w:t>
      </w:r>
      <w:r w:rsidR="00CA1BB6">
        <w:rPr>
          <w:i/>
          <w:sz w:val="20"/>
        </w:rPr>
        <w:t xml:space="preserve">  </w:t>
      </w:r>
    </w:p>
    <w:p w14:paraId="1F3B570D" w14:textId="0946B60E" w:rsidR="007B038E" w:rsidRDefault="00CA1BB6" w:rsidP="007B038E">
      <w:pPr>
        <w:spacing w:after="0"/>
        <w:rPr>
          <w:i/>
          <w:sz w:val="20"/>
        </w:rPr>
      </w:pPr>
      <w:r w:rsidRPr="00CA1BB6">
        <w:rPr>
          <w:i/>
          <w:sz w:val="18"/>
          <w:szCs w:val="20"/>
        </w:rPr>
        <w:t>Grey represents only a portion of total budget is spent in 2022-24 period; remainder carries to project completion in 2025.</w:t>
      </w:r>
    </w:p>
    <w:p w14:paraId="6484A2BC" w14:textId="43C98304" w:rsidR="006454DF" w:rsidRDefault="00D04FD9" w:rsidP="007B038E">
      <w:pPr>
        <w:spacing w:after="0"/>
        <w:rPr>
          <w:i/>
          <w:sz w:val="20"/>
        </w:rPr>
      </w:pPr>
      <w:r>
        <w:rPr>
          <w:noProof/>
        </w:rPr>
        <mc:AlternateContent>
          <mc:Choice Requires="wps">
            <w:drawing>
              <wp:anchor distT="0" distB="0" distL="114300" distR="114300" simplePos="0" relativeHeight="251663360" behindDoc="0" locked="0" layoutInCell="1" allowOverlap="1" wp14:anchorId="24B408CC" wp14:editId="7C45F521">
                <wp:simplePos x="0" y="0"/>
                <wp:positionH relativeFrom="column">
                  <wp:posOffset>4385945</wp:posOffset>
                </wp:positionH>
                <wp:positionV relativeFrom="paragraph">
                  <wp:posOffset>5429250</wp:posOffset>
                </wp:positionV>
                <wp:extent cx="336550" cy="225425"/>
                <wp:effectExtent l="0" t="0" r="25400" b="22225"/>
                <wp:wrapNone/>
                <wp:docPr id="6" name="Oval 6"/>
                <wp:cNvGraphicFramePr/>
                <a:graphic xmlns:a="http://schemas.openxmlformats.org/drawingml/2006/main">
                  <a:graphicData uri="http://schemas.microsoft.com/office/word/2010/wordprocessingShape">
                    <wps:wsp>
                      <wps:cNvSpPr/>
                      <wps:spPr>
                        <a:xfrm>
                          <a:off x="0" y="0"/>
                          <a:ext cx="336550" cy="2254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8493F9" id="Oval 6" o:spid="_x0000_s1026" style="position:absolute;margin-left:345.35pt;margin-top:427.5pt;width:26.5pt;height:1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" filled="f" strokecolor="red" strokeweight="1pt">
                <v:stroke joinstyle="miter"/>
              </v:oval>
            </w:pict>
          </mc:Fallback>
        </mc:AlternateContent>
      </w:r>
      <w:r>
        <w:rPr>
          <w:noProof/>
        </w:rPr>
        <mc:AlternateContent>
          <mc:Choice Requires="wps">
            <w:drawing>
              <wp:anchor distT="0" distB="0" distL="114300" distR="114300" simplePos="0" relativeHeight="251661312" behindDoc="0" locked="0" layoutInCell="1" allowOverlap="1" wp14:anchorId="7B1D57AD" wp14:editId="39FFBA35">
                <wp:simplePos x="0" y="0"/>
                <wp:positionH relativeFrom="column">
                  <wp:posOffset>5694045</wp:posOffset>
                </wp:positionH>
                <wp:positionV relativeFrom="paragraph">
                  <wp:posOffset>1571625</wp:posOffset>
                </wp:positionV>
                <wp:extent cx="336550" cy="184150"/>
                <wp:effectExtent l="0" t="0" r="25400" b="25400"/>
                <wp:wrapNone/>
                <wp:docPr id="5" name="Oval 5"/>
                <wp:cNvGraphicFramePr/>
                <a:graphic xmlns:a="http://schemas.openxmlformats.org/drawingml/2006/main">
                  <a:graphicData uri="http://schemas.microsoft.com/office/word/2010/wordprocessingShape">
                    <wps:wsp>
                      <wps:cNvSpPr/>
                      <wps:spPr>
                        <a:xfrm flipV="1">
                          <a:off x="0" y="0"/>
                          <a:ext cx="336550" cy="18415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4AB056" id="Oval 5" o:spid="_x0000_s1026" style="position:absolute;margin-left:448.35pt;margin-top:123.75pt;width:26.5pt;height:1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" filled="f" strokecolor="red" strokeweight="1pt">
                <v:stroke joinstyle="miter"/>
              </v:oval>
            </w:pict>
          </mc:Fallback>
        </mc:AlternateContent>
      </w:r>
      <w:r>
        <w:rPr>
          <w:noProof/>
        </w:rPr>
        <mc:AlternateContent>
          <mc:Choice Requires="wps">
            <w:drawing>
              <wp:anchor distT="0" distB="0" distL="114300" distR="114300" simplePos="0" relativeHeight="251659264" behindDoc="0" locked="0" layoutInCell="1" allowOverlap="1" wp14:anchorId="575B1D34" wp14:editId="4E996DDC">
                <wp:simplePos x="0" y="0"/>
                <wp:positionH relativeFrom="column">
                  <wp:posOffset>5678170</wp:posOffset>
                </wp:positionH>
                <wp:positionV relativeFrom="paragraph">
                  <wp:posOffset>2317750</wp:posOffset>
                </wp:positionV>
                <wp:extent cx="336550" cy="225425"/>
                <wp:effectExtent l="0" t="0" r="25400" b="22225"/>
                <wp:wrapNone/>
                <wp:docPr id="3" name="Oval 3"/>
                <wp:cNvGraphicFramePr/>
                <a:graphic xmlns:a="http://schemas.openxmlformats.org/drawingml/2006/main">
                  <a:graphicData uri="http://schemas.microsoft.com/office/word/2010/wordprocessingShape">
                    <wps:wsp>
                      <wps:cNvSpPr/>
                      <wps:spPr>
                        <a:xfrm>
                          <a:off x="0" y="0"/>
                          <a:ext cx="336550" cy="2254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F1F8D1" id="Oval 3" o:spid="_x0000_s1026" style="position:absolute;margin-left:447.1pt;margin-top:182.5pt;width:26.5pt;height:1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" filled="f" strokecolor="red" strokeweight="1pt">
                <v:stroke joinstyle="miter"/>
              </v:oval>
            </w:pict>
          </mc:Fallback>
        </mc:AlternateContent>
      </w:r>
      <w:r w:rsidR="00CA1BB6" w:rsidRPr="00CA1BB6">
        <w:rPr>
          <w:noProof/>
        </w:rPr>
        <w:drawing>
          <wp:inline distT="0" distB="0" distL="0" distR="0" wp14:anchorId="3AD9427C" wp14:editId="35F2CFA8">
            <wp:extent cx="5989587" cy="6121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90560" cy="6122394"/>
                    </a:xfrm>
                    <a:prstGeom prst="rect">
                      <a:avLst/>
                    </a:prstGeom>
                    <a:noFill/>
                    <a:ln>
                      <a:noFill/>
                    </a:ln>
                  </pic:spPr>
                </pic:pic>
              </a:graphicData>
            </a:graphic>
          </wp:inline>
        </w:drawing>
      </w:r>
    </w:p>
    <w:p w14:paraId="1C7F410C" w14:textId="0F01CAD4" w:rsidR="006454DF" w:rsidRDefault="006454DF">
      <w:pPr>
        <w:rPr>
          <w:noProof/>
        </w:rPr>
      </w:pPr>
      <w:r>
        <w:rPr>
          <w:noProof/>
        </w:rPr>
        <w:br w:type="page"/>
      </w:r>
    </w:p>
    <w:p w14:paraId="3BA5B5EB" w14:textId="7938011D" w:rsidR="004E7611" w:rsidRPr="00106069" w:rsidRDefault="004E7611" w:rsidP="00B33D80">
      <w:pPr>
        <w:pBdr>
          <w:bottom w:val="single" w:sz="4" w:space="1" w:color="auto"/>
        </w:pBdr>
        <w:spacing w:after="0"/>
        <w:rPr>
          <w:b/>
          <w:sz w:val="32"/>
        </w:rPr>
      </w:pPr>
      <w:r w:rsidRPr="00106069">
        <w:rPr>
          <w:b/>
          <w:sz w:val="32"/>
        </w:rPr>
        <w:t xml:space="preserve">CT EEB </w:t>
      </w:r>
      <w:r w:rsidR="00C94747">
        <w:rPr>
          <w:b/>
          <w:sz w:val="32"/>
        </w:rPr>
        <w:t>2022-24</w:t>
      </w:r>
      <w:r w:rsidRPr="00106069">
        <w:rPr>
          <w:b/>
          <w:sz w:val="32"/>
        </w:rPr>
        <w:t xml:space="preserve"> </w:t>
      </w:r>
      <w:r w:rsidR="007B038E">
        <w:rPr>
          <w:b/>
          <w:sz w:val="32"/>
        </w:rPr>
        <w:t>THREE</w:t>
      </w:r>
      <w:r w:rsidR="009A7424">
        <w:rPr>
          <w:b/>
          <w:sz w:val="32"/>
        </w:rPr>
        <w:t xml:space="preserve"> YEAR </w:t>
      </w:r>
      <w:r w:rsidRPr="00106069">
        <w:rPr>
          <w:b/>
          <w:sz w:val="32"/>
        </w:rPr>
        <w:t>EVALUATION</w:t>
      </w:r>
      <w:r w:rsidR="00C94747">
        <w:rPr>
          <w:b/>
          <w:sz w:val="32"/>
        </w:rPr>
        <w:t xml:space="preserve"> PLAN AND BUDGET</w:t>
      </w:r>
      <w:r w:rsidR="007F48F9">
        <w:rPr>
          <w:b/>
          <w:sz w:val="32"/>
        </w:rPr>
        <w:t xml:space="preserve"> </w:t>
      </w:r>
    </w:p>
    <w:p w14:paraId="5F40D6DB" w14:textId="29B81C3B" w:rsidR="004E7611" w:rsidRDefault="004E7611" w:rsidP="00B33D80">
      <w:pPr>
        <w:spacing w:after="0"/>
      </w:pPr>
    </w:p>
    <w:p w14:paraId="171FD7CE" w14:textId="527F5F54" w:rsidR="00D71A00" w:rsidRDefault="00D71A00" w:rsidP="0013709B">
      <w:pPr>
        <w:pStyle w:val="Heading1"/>
        <w:numPr>
          <w:ilvl w:val="0"/>
          <w:numId w:val="17"/>
        </w:numPr>
      </w:pPr>
      <w:bookmarkStart w:id="3" w:name="_Toc90618548"/>
      <w:r>
        <w:t>Introduction</w:t>
      </w:r>
      <w:bookmarkEnd w:id="3"/>
    </w:p>
    <w:p w14:paraId="655D0C3D" w14:textId="77777777" w:rsidR="00D71A00" w:rsidRDefault="00D71A00" w:rsidP="00B33D80">
      <w:pPr>
        <w:spacing w:after="0"/>
      </w:pPr>
    </w:p>
    <w:p w14:paraId="557F6B45" w14:textId="5DD0E810" w:rsidR="008B5D51" w:rsidRDefault="00A83B39" w:rsidP="00B33D80">
      <w:pPr>
        <w:spacing w:after="0"/>
      </w:pPr>
      <w:r>
        <w:t xml:space="preserve">This document </w:t>
      </w:r>
      <w:r w:rsidR="007D0DA4">
        <w:t xml:space="preserve">provides the summary of the process and the results </w:t>
      </w:r>
      <w:r w:rsidR="00FB23E5">
        <w:t xml:space="preserve">for the EA Team’s preparation </w:t>
      </w:r>
      <w:r w:rsidR="007D0DA4">
        <w:t xml:space="preserve">of the </w:t>
      </w:r>
      <w:r w:rsidR="007B038E">
        <w:t xml:space="preserve">CTEEB’s Three-Year </w:t>
      </w:r>
      <w:r w:rsidR="00FB23E5">
        <w:t xml:space="preserve">Evaluation Budget and Plan for </w:t>
      </w:r>
      <w:r w:rsidR="001F52FC">
        <w:t>2022-24</w:t>
      </w:r>
      <w:r w:rsidR="00FB23E5">
        <w:t xml:space="preserve">.   </w:t>
      </w:r>
      <w:r w:rsidR="00AF437C">
        <w:t xml:space="preserve">This document includes background information </w:t>
      </w:r>
      <w:r w:rsidR="00B97DB9">
        <w:t xml:space="preserve">on </w:t>
      </w:r>
      <w:r w:rsidR="00AF437C">
        <w:t xml:space="preserve">the budget and projects </w:t>
      </w:r>
      <w:r w:rsidR="00B97DB9">
        <w:t>for</w:t>
      </w:r>
      <w:r w:rsidR="00AF437C">
        <w:t xml:space="preserve"> the Evaluation Committee.  This document includes:</w:t>
      </w:r>
    </w:p>
    <w:p w14:paraId="30F7304D" w14:textId="0BA464F1" w:rsidR="00AF437C" w:rsidRDefault="00AF437C" w:rsidP="00D3466E">
      <w:pPr>
        <w:pStyle w:val="ListParagraph"/>
        <w:numPr>
          <w:ilvl w:val="0"/>
          <w:numId w:val="10"/>
        </w:numPr>
        <w:spacing w:after="0"/>
      </w:pPr>
      <w:r>
        <w:t>Summary of the multi-step process used to develop projects and budgets</w:t>
      </w:r>
      <w:r w:rsidR="004C418D">
        <w:t xml:space="preserve"> </w:t>
      </w:r>
    </w:p>
    <w:p w14:paraId="5CA003BE" w14:textId="0BE01F30" w:rsidR="00AF437C" w:rsidRDefault="00AF437C" w:rsidP="00AF437C">
      <w:pPr>
        <w:pStyle w:val="ListParagraph"/>
        <w:numPr>
          <w:ilvl w:val="0"/>
          <w:numId w:val="10"/>
        </w:numPr>
        <w:spacing w:after="0"/>
      </w:pPr>
      <w:r>
        <w:t xml:space="preserve">Summary </w:t>
      </w:r>
      <w:r w:rsidR="002E7997">
        <w:t xml:space="preserve">information on the budgets allocated by strata: sector, project types, and years. </w:t>
      </w:r>
    </w:p>
    <w:p w14:paraId="38B36529" w14:textId="416940BA" w:rsidR="002E7997" w:rsidRDefault="00AF437C" w:rsidP="002E7997">
      <w:pPr>
        <w:pStyle w:val="ListParagraph"/>
        <w:numPr>
          <w:ilvl w:val="0"/>
          <w:numId w:val="10"/>
        </w:numPr>
        <w:spacing w:after="0"/>
      </w:pPr>
      <w:r>
        <w:t>Listing of all projects</w:t>
      </w:r>
      <w:r w:rsidR="002E7997">
        <w:t xml:space="preserve">, including titles and major project outcomes.  </w:t>
      </w:r>
    </w:p>
    <w:p w14:paraId="606BEFA2" w14:textId="64AEC635" w:rsidR="004C418D" w:rsidRDefault="002E7997" w:rsidP="002E7997">
      <w:pPr>
        <w:pStyle w:val="ListParagraph"/>
        <w:numPr>
          <w:ilvl w:val="0"/>
          <w:numId w:val="10"/>
        </w:numPr>
        <w:spacing w:after="0"/>
      </w:pPr>
      <w:r>
        <w:t>Descriptions of all evaluation studies.</w:t>
      </w:r>
    </w:p>
    <w:p w14:paraId="1C0A1A04" w14:textId="44BAC123" w:rsidR="00AB6E73" w:rsidRDefault="00AB6E73" w:rsidP="00B33D80">
      <w:pPr>
        <w:spacing w:after="0"/>
      </w:pPr>
    </w:p>
    <w:p w14:paraId="6DA8F339" w14:textId="1DFD396B" w:rsidR="00BF1C8A" w:rsidRPr="00BF1C8A" w:rsidRDefault="0019178F" w:rsidP="00F20E49">
      <w:pPr>
        <w:pStyle w:val="Heading2"/>
      </w:pPr>
      <w:bookmarkStart w:id="4" w:name="_Toc90618549"/>
      <w:r>
        <w:t>Summary of Process</w:t>
      </w:r>
      <w:bookmarkEnd w:id="4"/>
    </w:p>
    <w:p w14:paraId="0587CFAA" w14:textId="77777777" w:rsidR="000A5BDC" w:rsidRDefault="000A5BDC" w:rsidP="00B33D80">
      <w:pPr>
        <w:spacing w:after="0"/>
      </w:pPr>
    </w:p>
    <w:p w14:paraId="46366D45" w14:textId="700679B1" w:rsidR="00BF1C8A" w:rsidRDefault="00BF1C8A" w:rsidP="00B33D80">
      <w:pPr>
        <w:spacing w:after="0"/>
      </w:pPr>
      <w:r>
        <w:t xml:space="preserve">This </w:t>
      </w:r>
      <w:r w:rsidR="009A7424">
        <w:t>“</w:t>
      </w:r>
      <w:r w:rsidR="001F52FC">
        <w:t>2022-24</w:t>
      </w:r>
      <w:r w:rsidR="00EE2B04">
        <w:t xml:space="preserve"> </w:t>
      </w:r>
      <w:r w:rsidR="00B97DB9">
        <w:t>Three</w:t>
      </w:r>
      <w:r w:rsidR="008B5D51">
        <w:t xml:space="preserve">-year </w:t>
      </w:r>
      <w:r w:rsidR="009A7424">
        <w:t xml:space="preserve">Recommended </w:t>
      </w:r>
      <w:r w:rsidR="008B5D51">
        <w:t xml:space="preserve">Evaluation </w:t>
      </w:r>
      <w:r w:rsidR="009A7424">
        <w:t xml:space="preserve">Budget and </w:t>
      </w:r>
      <w:r w:rsidR="008B5D51">
        <w:t>Plan</w:t>
      </w:r>
      <w:r w:rsidR="009A7424">
        <w:t>”</w:t>
      </w:r>
      <w:r w:rsidR="008B5D51">
        <w:t xml:space="preserve"> document serves as the foundation </w:t>
      </w:r>
      <w:r w:rsidR="00B97DB9">
        <w:t xml:space="preserve">of the plan for </w:t>
      </w:r>
      <w:r w:rsidR="008B5D51">
        <w:t xml:space="preserve">the </w:t>
      </w:r>
      <w:r w:rsidR="009F543B">
        <w:t>Evaluation of the EEB portfolio of programs.</w:t>
      </w:r>
      <w:r w:rsidR="00B97DB9">
        <w:t xml:space="preserve">  </w:t>
      </w:r>
      <w:r w:rsidR="008B5D51">
        <w:t xml:space="preserve">  These recommendations </w:t>
      </w:r>
      <w:r>
        <w:t>w</w:t>
      </w:r>
      <w:r w:rsidR="008B5D51">
        <w:t>ere</w:t>
      </w:r>
      <w:r>
        <w:t xml:space="preserve"> prepared </w:t>
      </w:r>
      <w:r w:rsidR="00523069">
        <w:t>by the Ev</w:t>
      </w:r>
      <w:r w:rsidR="00460DED">
        <w:t>aluation</w:t>
      </w:r>
      <w:r w:rsidR="00523069">
        <w:t xml:space="preserve"> Administrators (EA) </w:t>
      </w:r>
      <w:r>
        <w:t xml:space="preserve">in </w:t>
      </w:r>
      <w:r w:rsidR="008B5D51">
        <w:t>October</w:t>
      </w:r>
      <w:r w:rsidR="00B97DB9">
        <w:t>, November, and December</w:t>
      </w:r>
      <w:r>
        <w:t xml:space="preserve"> 20</w:t>
      </w:r>
      <w:r w:rsidR="009F543B">
        <w:t>21</w:t>
      </w:r>
      <w:r w:rsidR="00B41E38">
        <w:t>.</w:t>
      </w:r>
    </w:p>
    <w:p w14:paraId="109C7D55" w14:textId="5E80E0C5" w:rsidR="00023B4F" w:rsidRDefault="00023B4F" w:rsidP="00B33D80">
      <w:pPr>
        <w:spacing w:after="0"/>
      </w:pPr>
    </w:p>
    <w:p w14:paraId="100CA886" w14:textId="77777777" w:rsidR="00023B4F" w:rsidRDefault="00023B4F" w:rsidP="00023B4F">
      <w:r>
        <w:t>The process for developing the plan was collaborative and multi-step.  The steps included:</w:t>
      </w:r>
    </w:p>
    <w:p w14:paraId="50A9E1FD" w14:textId="77777777" w:rsidR="00023B4F" w:rsidRDefault="00023B4F" w:rsidP="00023B4F">
      <w:pPr>
        <w:pStyle w:val="ListParagraph"/>
        <w:numPr>
          <w:ilvl w:val="0"/>
          <w:numId w:val="18"/>
        </w:numPr>
        <w:spacing w:after="0" w:line="240" w:lineRule="auto"/>
      </w:pPr>
      <w:r>
        <w:t>Solicited project concepts and information needs from all stakeholders</w:t>
      </w:r>
    </w:p>
    <w:p w14:paraId="204F816D" w14:textId="77777777" w:rsidR="00023B4F" w:rsidRDefault="00023B4F" w:rsidP="00023B4F">
      <w:pPr>
        <w:pStyle w:val="ListParagraph"/>
        <w:numPr>
          <w:ilvl w:val="0"/>
          <w:numId w:val="18"/>
        </w:numPr>
        <w:spacing w:after="0" w:line="240" w:lineRule="auto"/>
      </w:pPr>
      <w:r>
        <w:t xml:space="preserve">EA team assembled list </w:t>
      </w:r>
    </w:p>
    <w:p w14:paraId="2524F643" w14:textId="77777777" w:rsidR="00023B4F" w:rsidRDefault="00023B4F" w:rsidP="00023B4F">
      <w:pPr>
        <w:pStyle w:val="ListParagraph"/>
        <w:numPr>
          <w:ilvl w:val="0"/>
          <w:numId w:val="18"/>
        </w:numPr>
        <w:spacing w:after="0" w:line="240" w:lineRule="auto"/>
      </w:pPr>
      <w:r>
        <w:t>EA team facilitated discussions during Evaluation Committee meetings, plus 4 dedicated discussions with stakeholders to clarify needs and priorities</w:t>
      </w:r>
    </w:p>
    <w:p w14:paraId="16081CA5" w14:textId="3E5361B7" w:rsidR="00023B4F" w:rsidRDefault="00023B4F" w:rsidP="00023B4F">
      <w:pPr>
        <w:pStyle w:val="ListParagraph"/>
        <w:numPr>
          <w:ilvl w:val="0"/>
          <w:numId w:val="18"/>
        </w:numPr>
        <w:spacing w:after="0" w:line="240" w:lineRule="auto"/>
      </w:pPr>
      <w:r>
        <w:t>EA Team refined the list to emphasize the priorities, constructed logical projects, and prioritized and budgeted the projects</w:t>
      </w:r>
    </w:p>
    <w:p w14:paraId="503F912D" w14:textId="77777777" w:rsidR="00023B4F" w:rsidRDefault="00023B4F" w:rsidP="00023B4F">
      <w:pPr>
        <w:pStyle w:val="ListParagraph"/>
        <w:numPr>
          <w:ilvl w:val="0"/>
          <w:numId w:val="18"/>
        </w:numPr>
        <w:spacing w:after="0" w:line="240" w:lineRule="auto"/>
      </w:pPr>
      <w:r>
        <w:t>EA Team circulated list in advance of meeting and discusses in Evaluation Committee Meeting</w:t>
      </w:r>
    </w:p>
    <w:p w14:paraId="31B13DC5" w14:textId="77777777" w:rsidR="00023B4F" w:rsidRDefault="00023B4F" w:rsidP="00023B4F">
      <w:pPr>
        <w:pStyle w:val="ListParagraph"/>
        <w:numPr>
          <w:ilvl w:val="0"/>
          <w:numId w:val="18"/>
        </w:numPr>
        <w:spacing w:after="0" w:line="240" w:lineRule="auto"/>
      </w:pPr>
      <w:r>
        <w:t>EA Team revised according to discussion,</w:t>
      </w:r>
      <w:r>
        <w:rPr>
          <w:rStyle w:val="FootnoteReference"/>
        </w:rPr>
        <w:footnoteReference w:id="2"/>
      </w:r>
      <w:r>
        <w:t xml:space="preserve"> and distributed (in this memo).</w:t>
      </w:r>
    </w:p>
    <w:p w14:paraId="760F7834" w14:textId="77777777" w:rsidR="004F4F0D" w:rsidRPr="00367F46" w:rsidRDefault="004F4F0D" w:rsidP="00E45EA3">
      <w:pPr>
        <w:spacing w:after="0"/>
      </w:pPr>
    </w:p>
    <w:p w14:paraId="690C1AC7" w14:textId="0F805FE6" w:rsidR="00CB7C34" w:rsidRPr="00367F46" w:rsidRDefault="00CB7C34" w:rsidP="00CB7C34">
      <w:pPr>
        <w:spacing w:after="0"/>
      </w:pPr>
      <w:r w:rsidRPr="00367F46">
        <w:t xml:space="preserve">A number of </w:t>
      </w:r>
      <w:r w:rsidR="00AF5783" w:rsidRPr="00367F46">
        <w:t>criteria</w:t>
      </w:r>
      <w:r w:rsidRPr="00367F46">
        <w:t xml:space="preserve"> were used to identify needed project concepts, and </w:t>
      </w:r>
      <w:r w:rsidR="00AF5783" w:rsidRPr="00367F46">
        <w:t>prioritize</w:t>
      </w:r>
      <w:r w:rsidRPr="00367F46">
        <w:t xml:space="preserve"> projects.  Those included:  </w:t>
      </w:r>
    </w:p>
    <w:p w14:paraId="668DA8F7" w14:textId="77777777" w:rsidR="001A646C" w:rsidRPr="00367F46" w:rsidRDefault="001A646C" w:rsidP="001A646C">
      <w:pPr>
        <w:pStyle w:val="ListParagraph"/>
        <w:numPr>
          <w:ilvl w:val="0"/>
          <w:numId w:val="1"/>
        </w:numPr>
      </w:pPr>
      <w:r w:rsidRPr="00367F46">
        <w:t>Impact evaluation: these projects are rated highly</w:t>
      </w:r>
      <w:r w:rsidRPr="00367F46">
        <w:tab/>
      </w:r>
    </w:p>
    <w:p w14:paraId="6397EE1D" w14:textId="77777777" w:rsidR="001A646C" w:rsidRPr="00367F46" w:rsidRDefault="001A646C" w:rsidP="001A646C">
      <w:pPr>
        <w:pStyle w:val="ListParagraph"/>
        <w:numPr>
          <w:ilvl w:val="0"/>
          <w:numId w:val="1"/>
        </w:numPr>
      </w:pPr>
      <w:r w:rsidRPr="00367F46">
        <w:t>Process evaluation: these projects are rated highly</w:t>
      </w:r>
      <w:r w:rsidRPr="00367F46">
        <w:tab/>
      </w:r>
    </w:p>
    <w:p w14:paraId="5696ABF8" w14:textId="77777777" w:rsidR="001A646C" w:rsidRPr="00367F46" w:rsidRDefault="001A646C" w:rsidP="001A646C">
      <w:pPr>
        <w:pStyle w:val="ListParagraph"/>
        <w:numPr>
          <w:ilvl w:val="0"/>
          <w:numId w:val="1"/>
        </w:numPr>
      </w:pPr>
      <w:r w:rsidRPr="00367F46">
        <w:t>Project has not been evaluated recently, or is due for the next round</w:t>
      </w:r>
      <w:r w:rsidRPr="00367F46">
        <w:tab/>
      </w:r>
    </w:p>
    <w:p w14:paraId="6D503656" w14:textId="77777777" w:rsidR="001A646C" w:rsidRPr="00367F46" w:rsidRDefault="001A646C" w:rsidP="001A646C">
      <w:pPr>
        <w:pStyle w:val="ListParagraph"/>
        <w:numPr>
          <w:ilvl w:val="0"/>
          <w:numId w:val="1"/>
        </w:numPr>
      </w:pPr>
      <w:r w:rsidRPr="00367F46">
        <w:t xml:space="preserve">High C&amp;LM Plan savings (and / or budgets) associated with the relevant program </w:t>
      </w:r>
    </w:p>
    <w:p w14:paraId="39417B00" w14:textId="77777777" w:rsidR="001A646C" w:rsidRPr="00367F46" w:rsidRDefault="001A646C" w:rsidP="001A646C">
      <w:pPr>
        <w:pStyle w:val="ListParagraph"/>
        <w:numPr>
          <w:ilvl w:val="0"/>
          <w:numId w:val="1"/>
        </w:numPr>
      </w:pPr>
      <w:r w:rsidRPr="00367F46">
        <w:t xml:space="preserve">Projects needed to meet needs of ISO / FCM score </w:t>
      </w:r>
    </w:p>
    <w:p w14:paraId="20188F49" w14:textId="77777777" w:rsidR="001A646C" w:rsidRPr="00367F46" w:rsidRDefault="001A646C" w:rsidP="001A646C">
      <w:pPr>
        <w:pStyle w:val="ListParagraph"/>
        <w:numPr>
          <w:ilvl w:val="0"/>
          <w:numId w:val="1"/>
        </w:numPr>
      </w:pPr>
      <w:r w:rsidRPr="00367F46">
        <w:t xml:space="preserve">Projects that address important gaps, uncertainties, or aged numbers in PSD </w:t>
      </w:r>
    </w:p>
    <w:p w14:paraId="693DA6A7" w14:textId="77777777" w:rsidR="001A646C" w:rsidRPr="00367F46" w:rsidRDefault="001A646C" w:rsidP="001A646C">
      <w:pPr>
        <w:pStyle w:val="ListParagraph"/>
        <w:numPr>
          <w:ilvl w:val="0"/>
          <w:numId w:val="1"/>
        </w:numPr>
      </w:pPr>
      <w:r w:rsidRPr="00367F46">
        <w:t xml:space="preserve">Projects that address important gaps / needs for program design </w:t>
      </w:r>
    </w:p>
    <w:p w14:paraId="7D2F4B47" w14:textId="77777777" w:rsidR="001A646C" w:rsidRPr="00367F46" w:rsidRDefault="001A646C" w:rsidP="001A646C">
      <w:pPr>
        <w:pStyle w:val="ListParagraph"/>
        <w:numPr>
          <w:ilvl w:val="0"/>
          <w:numId w:val="1"/>
        </w:numPr>
      </w:pPr>
      <w:r w:rsidRPr="00367F46">
        <w:t>Projects that follow another project, or are part of a series</w:t>
      </w:r>
    </w:p>
    <w:p w14:paraId="1A67D13D" w14:textId="77777777" w:rsidR="001A646C" w:rsidRPr="00367F46" w:rsidRDefault="001A646C" w:rsidP="001A646C">
      <w:pPr>
        <w:pStyle w:val="ListParagraph"/>
        <w:numPr>
          <w:ilvl w:val="0"/>
          <w:numId w:val="1"/>
        </w:numPr>
      </w:pPr>
      <w:r w:rsidRPr="00367F46">
        <w:t>Projects that have the potential to be co-funded with other agencies or can be borrowed / adapted from elsewhere</w:t>
      </w:r>
    </w:p>
    <w:p w14:paraId="1BD2E11C" w14:textId="77777777" w:rsidR="001A646C" w:rsidRPr="00367F46" w:rsidRDefault="001A646C" w:rsidP="001A646C">
      <w:pPr>
        <w:pStyle w:val="ListParagraph"/>
        <w:numPr>
          <w:ilvl w:val="0"/>
          <w:numId w:val="1"/>
        </w:numPr>
      </w:pPr>
      <w:r w:rsidRPr="00367F46">
        <w:t>Other considerations, including needs identified by the stakeholders related to issues, markets, “next” programs, and other topics.</w:t>
      </w:r>
    </w:p>
    <w:p w14:paraId="0412C1BF" w14:textId="51BC1555" w:rsidR="001A646C" w:rsidRPr="00367F46" w:rsidRDefault="00AF5783" w:rsidP="001A646C">
      <w:pPr>
        <w:pStyle w:val="ListParagraph"/>
        <w:numPr>
          <w:ilvl w:val="0"/>
          <w:numId w:val="1"/>
        </w:numPr>
      </w:pPr>
      <w:r w:rsidRPr="00367F46">
        <w:t>Feasibility</w:t>
      </w:r>
      <w:r w:rsidR="001A646C" w:rsidRPr="00367F46">
        <w:t xml:space="preserve"> of conducting the work technically,</w:t>
      </w:r>
    </w:p>
    <w:p w14:paraId="5203A7BF" w14:textId="7761EBF7" w:rsidR="00715DE8" w:rsidRPr="00367F46" w:rsidRDefault="001A646C" w:rsidP="001A646C">
      <w:pPr>
        <w:pStyle w:val="ListParagraph"/>
        <w:numPr>
          <w:ilvl w:val="0"/>
          <w:numId w:val="1"/>
        </w:numPr>
      </w:pPr>
      <w:r w:rsidRPr="00367F46">
        <w:t>Budgets</w:t>
      </w:r>
    </w:p>
    <w:p w14:paraId="6A416784" w14:textId="77777777" w:rsidR="0019178F" w:rsidRDefault="0019178F" w:rsidP="00B33D80">
      <w:pPr>
        <w:spacing w:after="0"/>
      </w:pPr>
    </w:p>
    <w:p w14:paraId="53A6FB53" w14:textId="5109D6B5" w:rsidR="0019178F" w:rsidRPr="00BF1C8A" w:rsidRDefault="0019178F" w:rsidP="0013709B">
      <w:pPr>
        <w:pStyle w:val="Heading1"/>
        <w:numPr>
          <w:ilvl w:val="0"/>
          <w:numId w:val="17"/>
        </w:numPr>
        <w:spacing w:before="0"/>
      </w:pPr>
      <w:bookmarkStart w:id="5" w:name="_Toc90618550"/>
      <w:r>
        <w:t>Summary of Recommendations – Overall Budget</w:t>
      </w:r>
      <w:bookmarkEnd w:id="5"/>
    </w:p>
    <w:p w14:paraId="48048162" w14:textId="77777777" w:rsidR="0019178F" w:rsidRDefault="0019178F" w:rsidP="00B33D80">
      <w:pPr>
        <w:spacing w:after="0"/>
      </w:pPr>
    </w:p>
    <w:p w14:paraId="28FB660F" w14:textId="73301C26" w:rsidR="00D2758D" w:rsidRDefault="009A7424" w:rsidP="00B33D80">
      <w:pPr>
        <w:spacing w:after="0"/>
      </w:pPr>
      <w:r>
        <w:t xml:space="preserve">This </w:t>
      </w:r>
      <w:r w:rsidR="00A3166D">
        <w:t>document</w:t>
      </w:r>
      <w:r>
        <w:t xml:space="preserve"> includes summary tables</w:t>
      </w:r>
      <w:r w:rsidR="00A3166D">
        <w:t xml:space="preserve"> and detailed project </w:t>
      </w:r>
      <w:r w:rsidR="00AF5783">
        <w:t>descriptions</w:t>
      </w:r>
      <w:r w:rsidR="00A3166D">
        <w:t>.</w:t>
      </w:r>
      <w:r w:rsidR="00C20CB8">
        <w:t xml:space="preserve"> </w:t>
      </w:r>
    </w:p>
    <w:p w14:paraId="4F871F58" w14:textId="77777777" w:rsidR="00D2758D" w:rsidRDefault="00D2758D" w:rsidP="00B33D80">
      <w:pPr>
        <w:spacing w:after="0"/>
      </w:pPr>
    </w:p>
    <w:p w14:paraId="0DCA6144" w14:textId="15DE1763" w:rsidR="00A35ABD" w:rsidRDefault="00DB1055" w:rsidP="00D3466E">
      <w:pPr>
        <w:pStyle w:val="Heading2"/>
      </w:pPr>
      <w:bookmarkStart w:id="6" w:name="_Toc90618551"/>
      <w:r w:rsidRPr="00D61603">
        <w:t>Budget Summary and Caveats</w:t>
      </w:r>
      <w:bookmarkEnd w:id="6"/>
      <w:r>
        <w:t xml:space="preserve">  </w:t>
      </w:r>
    </w:p>
    <w:p w14:paraId="28022F91" w14:textId="6898A283" w:rsidR="00A35ABD" w:rsidRPr="0013709B" w:rsidRDefault="00A35ABD" w:rsidP="00B33D80">
      <w:pPr>
        <w:spacing w:after="0"/>
      </w:pPr>
    </w:p>
    <w:p w14:paraId="76EDA72B" w14:textId="442D0BB3" w:rsidR="002528A3" w:rsidRPr="0013709B" w:rsidRDefault="002528A3" w:rsidP="002528A3">
      <w:r w:rsidRPr="0013709B">
        <w:t xml:space="preserve">The requested evaluation budget is $14.775 million over the Three-Year period.  </w:t>
      </w:r>
      <w:r w:rsidR="0020129E" w:rsidRPr="0013709B">
        <w:t xml:space="preserve">The approved C&amp;LM plan budget </w:t>
      </w:r>
      <w:r w:rsidR="00AF5783" w:rsidRPr="0013709B">
        <w:t>presented</w:t>
      </w:r>
      <w:r w:rsidR="0020129E" w:rsidRPr="0013709B">
        <w:t xml:space="preserve"> in Table E.1 over the period is $706.6 million.  The calculated percent allocated to EM&amp;V totals 2.1%</w:t>
      </w:r>
      <w:r w:rsidR="00FD6E88" w:rsidRPr="0013709B">
        <w:t xml:space="preserve"> over the three years, ramping up from 1.8% in 2022</w:t>
      </w:r>
      <w:r w:rsidR="0020129E" w:rsidRPr="0013709B">
        <w:t xml:space="preserve">.  This </w:t>
      </w:r>
      <w:r w:rsidRPr="0013709B">
        <w:t>represents a substantial increase over the Evaluation allocation over previous years.  This was a deliberate change.  Esource information indicates the national average for the percent of C&amp;LM Plan budgets allocated to evaluation is between 2-2.5%, with higher numbers generally associated with leading states.  The percentage allocated to evaluation in Connecticut had declined from 2.1% in 2012/2013 to 1% in 20</w:t>
      </w:r>
      <w:r w:rsidR="00B930AC" w:rsidRPr="0013709B">
        <w:t>19-21.</w:t>
      </w:r>
      <w:r w:rsidR="00B930AC" w:rsidRPr="0013709B">
        <w:rPr>
          <w:rStyle w:val="FootnoteReference"/>
        </w:rPr>
        <w:footnoteReference w:id="3"/>
      </w:r>
      <w:r w:rsidRPr="0013709B">
        <w:t xml:space="preserve">  This budget increase moves Connecticut </w:t>
      </w:r>
      <w:r w:rsidR="0020129E" w:rsidRPr="0013709B">
        <w:t>back to values that are in line with other states.</w:t>
      </w:r>
      <w:r w:rsidRPr="0013709B">
        <w:t xml:space="preserve"> </w:t>
      </w:r>
    </w:p>
    <w:p w14:paraId="154CFD5F" w14:textId="2525BDC9" w:rsidR="009E7A9C" w:rsidRPr="0013709B" w:rsidRDefault="009E7A9C" w:rsidP="009E7A9C">
      <w:r w:rsidRPr="0013709B">
        <w:t xml:space="preserve">The low </w:t>
      </w:r>
      <w:r w:rsidR="00AF5783" w:rsidRPr="0013709B">
        <w:t>evaluation</w:t>
      </w:r>
      <w:r w:rsidRPr="0013709B">
        <w:t xml:space="preserve"> </w:t>
      </w:r>
      <w:r w:rsidR="00AF5783" w:rsidRPr="0013709B">
        <w:t>budgets</w:t>
      </w:r>
      <w:r w:rsidRPr="0013709B">
        <w:t xml:space="preserve"> in </w:t>
      </w:r>
      <w:r w:rsidR="00AF5783" w:rsidRPr="0013709B">
        <w:t>Connecticut</w:t>
      </w:r>
      <w:r w:rsidRPr="0013709B">
        <w:t xml:space="preserve"> have led to very limited scopes a</w:t>
      </w:r>
      <w:r w:rsidR="00AF5783">
        <w:t>n</w:t>
      </w:r>
      <w:r w:rsidRPr="0013709B">
        <w:t xml:space="preserve">d </w:t>
      </w:r>
      <w:r w:rsidR="00AF5783" w:rsidRPr="0013709B">
        <w:t>sample</w:t>
      </w:r>
      <w:r w:rsidRPr="0013709B">
        <w:t xml:space="preserve"> si</w:t>
      </w:r>
      <w:r w:rsidR="00AF5783">
        <w:t>z</w:t>
      </w:r>
      <w:r w:rsidRPr="0013709B">
        <w:t xml:space="preserve">es, and also difficulties making the projects </w:t>
      </w:r>
      <w:r w:rsidR="00AF5783" w:rsidRPr="0013709B">
        <w:t>economically</w:t>
      </w:r>
      <w:r w:rsidRPr="0013709B">
        <w:t xml:space="preserve"> attractive to industry-leader contractors.  The </w:t>
      </w:r>
      <w:r w:rsidR="00AF5783" w:rsidRPr="0013709B">
        <w:t>increased</w:t>
      </w:r>
      <w:r w:rsidRPr="0013709B">
        <w:t xml:space="preserve"> budget brings </w:t>
      </w:r>
      <w:r w:rsidR="00AF5783" w:rsidRPr="0013709B">
        <w:t>substantial</w:t>
      </w:r>
      <w:r w:rsidRPr="0013709B">
        <w:t xml:space="preserve"> advantages to</w:t>
      </w:r>
      <w:r w:rsidR="00AF5783">
        <w:t xml:space="preserve"> the</w:t>
      </w:r>
      <w:r w:rsidRPr="0013709B">
        <w:t xml:space="preserve"> </w:t>
      </w:r>
      <w:r w:rsidR="00AF5783" w:rsidRPr="0013709B">
        <w:t>evaluation</w:t>
      </w:r>
      <w:r w:rsidRPr="0013709B">
        <w:t xml:space="preserve"> work in </w:t>
      </w:r>
      <w:r w:rsidR="00AF5783" w:rsidRPr="0013709B">
        <w:t>Connecticut</w:t>
      </w:r>
      <w:r w:rsidRPr="0013709B">
        <w:t xml:space="preserve"> in several ways, reflected in the enhanced scope of </w:t>
      </w:r>
      <w:r w:rsidR="00AF5783" w:rsidRPr="0013709B">
        <w:t>evaluation</w:t>
      </w:r>
      <w:r w:rsidRPr="0013709B">
        <w:t xml:space="preserve"> topics presented for this Three-</w:t>
      </w:r>
      <w:r w:rsidR="00AF5783" w:rsidRPr="0013709B">
        <w:t>Year</w:t>
      </w:r>
      <w:r w:rsidRPr="0013709B">
        <w:t xml:space="preserve"> Period:  </w:t>
      </w:r>
    </w:p>
    <w:p w14:paraId="45A0E679" w14:textId="77777777" w:rsidR="009E7A9C" w:rsidRPr="0013709B" w:rsidRDefault="009E7A9C" w:rsidP="009E7A9C">
      <w:pPr>
        <w:pStyle w:val="ListParagraph"/>
        <w:numPr>
          <w:ilvl w:val="0"/>
          <w:numId w:val="14"/>
        </w:numPr>
        <w:spacing w:after="0" w:line="240" w:lineRule="auto"/>
      </w:pPr>
      <w:r w:rsidRPr="0013709B">
        <w:t>More projects, representing topics that meet the array of needs expressed by the stakeholders.</w:t>
      </w:r>
    </w:p>
    <w:p w14:paraId="48B69C4E" w14:textId="77777777" w:rsidR="009E7A9C" w:rsidRPr="0013709B" w:rsidRDefault="009E7A9C" w:rsidP="009E7A9C">
      <w:pPr>
        <w:pStyle w:val="ListParagraph"/>
        <w:numPr>
          <w:ilvl w:val="0"/>
          <w:numId w:val="14"/>
        </w:numPr>
        <w:spacing w:after="0" w:line="240" w:lineRule="auto"/>
      </w:pPr>
      <w:r w:rsidRPr="0013709B">
        <w:t xml:space="preserve">Projects with more robust scopes and larger sample sizes, to allow greater granularity in results, and fewer limitations on drilling down on key subjects. </w:t>
      </w:r>
    </w:p>
    <w:p w14:paraId="209728D7" w14:textId="77777777" w:rsidR="009E7A9C" w:rsidRPr="0013709B" w:rsidRDefault="009E7A9C" w:rsidP="009E7A9C">
      <w:pPr>
        <w:pStyle w:val="ListParagraph"/>
        <w:numPr>
          <w:ilvl w:val="0"/>
          <w:numId w:val="14"/>
        </w:numPr>
        <w:spacing w:after="0" w:line="240" w:lineRule="auto"/>
      </w:pPr>
      <w:r w:rsidRPr="0013709B">
        <w:t xml:space="preserve">The plan’s budget and corresponding level of verification of programs and their savings represents a percentage that is more in line with industry standard for evaluation across the nation.   </w:t>
      </w:r>
    </w:p>
    <w:p w14:paraId="6206850A" w14:textId="22B3E912" w:rsidR="009E7A9C" w:rsidRDefault="009E7A9C" w:rsidP="009E7A9C"/>
    <w:p w14:paraId="6F404E19" w14:textId="0433DE4D" w:rsidR="00301EFF" w:rsidRPr="00432997" w:rsidRDefault="00301EFF" w:rsidP="00301EFF">
      <w:pPr>
        <w:rPr>
          <w:b/>
          <w:bCs/>
        </w:rPr>
      </w:pPr>
      <w:r w:rsidRPr="00432997">
        <w:rPr>
          <w:b/>
          <w:bCs/>
        </w:rPr>
        <w:t>Figure 1:  Three-</w:t>
      </w:r>
      <w:r>
        <w:rPr>
          <w:b/>
          <w:bCs/>
        </w:rPr>
        <w:t>Y</w:t>
      </w:r>
      <w:r w:rsidRPr="00432997">
        <w:rPr>
          <w:b/>
          <w:bCs/>
        </w:rPr>
        <w:t>ear Eval</w:t>
      </w:r>
      <w:r>
        <w:rPr>
          <w:b/>
          <w:bCs/>
        </w:rPr>
        <w:t>u</w:t>
      </w:r>
      <w:r w:rsidRPr="00432997">
        <w:rPr>
          <w:b/>
          <w:bCs/>
        </w:rPr>
        <w:t>ation Plan Budget, in thousands</w:t>
      </w:r>
    </w:p>
    <w:tbl>
      <w:tblPr>
        <w:tblW w:w="4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1170"/>
        <w:gridCol w:w="1080"/>
        <w:gridCol w:w="1350"/>
      </w:tblGrid>
      <w:tr w:rsidR="00301EFF" w:rsidRPr="00095E90" w14:paraId="77F5B0CE" w14:textId="77777777" w:rsidTr="00053D66">
        <w:trPr>
          <w:trHeight w:val="370"/>
        </w:trPr>
        <w:tc>
          <w:tcPr>
            <w:tcW w:w="1165" w:type="dxa"/>
            <w:shd w:val="clear" w:color="auto" w:fill="D9E2F3" w:themeFill="accent5" w:themeFillTint="33"/>
            <w:noWrap/>
            <w:vAlign w:val="bottom"/>
            <w:hideMark/>
          </w:tcPr>
          <w:p w14:paraId="11011AAF" w14:textId="77777777" w:rsidR="00301EFF" w:rsidRPr="00095E90" w:rsidRDefault="00301EFF" w:rsidP="00053D66">
            <w:pPr>
              <w:rPr>
                <w:rFonts w:ascii="Calibri" w:eastAsia="Times New Roman" w:hAnsi="Calibri" w:cs="Calibri"/>
                <w:color w:val="000000"/>
                <w:sz w:val="20"/>
                <w:szCs w:val="20"/>
              </w:rPr>
            </w:pPr>
            <w:r w:rsidRPr="00095E90">
              <w:rPr>
                <w:rFonts w:ascii="Calibri" w:eastAsia="Times New Roman" w:hAnsi="Calibri" w:cs="Calibri"/>
                <w:color w:val="000000"/>
                <w:sz w:val="20"/>
                <w:szCs w:val="20"/>
              </w:rPr>
              <w:t>Year 2022</w:t>
            </w:r>
          </w:p>
        </w:tc>
        <w:tc>
          <w:tcPr>
            <w:tcW w:w="1170" w:type="dxa"/>
            <w:shd w:val="clear" w:color="auto" w:fill="D9E2F3" w:themeFill="accent5" w:themeFillTint="33"/>
            <w:noWrap/>
            <w:vAlign w:val="bottom"/>
            <w:hideMark/>
          </w:tcPr>
          <w:p w14:paraId="726959F4" w14:textId="77777777" w:rsidR="00301EFF" w:rsidRPr="00095E90" w:rsidRDefault="00301EFF" w:rsidP="00053D66">
            <w:pPr>
              <w:rPr>
                <w:rFonts w:ascii="Calibri" w:eastAsia="Times New Roman" w:hAnsi="Calibri" w:cs="Calibri"/>
                <w:color w:val="000000"/>
                <w:sz w:val="20"/>
                <w:szCs w:val="20"/>
              </w:rPr>
            </w:pPr>
            <w:r w:rsidRPr="00095E90">
              <w:rPr>
                <w:rFonts w:ascii="Calibri" w:eastAsia="Times New Roman" w:hAnsi="Calibri" w:cs="Calibri"/>
                <w:color w:val="000000"/>
                <w:sz w:val="20"/>
                <w:szCs w:val="20"/>
              </w:rPr>
              <w:t>Year 2023</w:t>
            </w:r>
          </w:p>
        </w:tc>
        <w:tc>
          <w:tcPr>
            <w:tcW w:w="1080" w:type="dxa"/>
            <w:shd w:val="clear" w:color="auto" w:fill="D9E2F3" w:themeFill="accent5" w:themeFillTint="33"/>
            <w:noWrap/>
            <w:vAlign w:val="bottom"/>
            <w:hideMark/>
          </w:tcPr>
          <w:p w14:paraId="4EACD030" w14:textId="77777777" w:rsidR="00301EFF" w:rsidRPr="00095E90" w:rsidRDefault="00301EFF" w:rsidP="00053D66">
            <w:pPr>
              <w:rPr>
                <w:rFonts w:ascii="Calibri" w:eastAsia="Times New Roman" w:hAnsi="Calibri" w:cs="Calibri"/>
                <w:color w:val="000000"/>
                <w:sz w:val="20"/>
                <w:szCs w:val="20"/>
              </w:rPr>
            </w:pPr>
            <w:r w:rsidRPr="00095E90">
              <w:rPr>
                <w:rFonts w:ascii="Calibri" w:eastAsia="Times New Roman" w:hAnsi="Calibri" w:cs="Calibri"/>
                <w:color w:val="000000"/>
                <w:sz w:val="20"/>
                <w:szCs w:val="20"/>
              </w:rPr>
              <w:t>Year 2024</w:t>
            </w:r>
          </w:p>
        </w:tc>
        <w:tc>
          <w:tcPr>
            <w:tcW w:w="1350" w:type="dxa"/>
            <w:shd w:val="clear" w:color="auto" w:fill="D9E2F3" w:themeFill="accent5" w:themeFillTint="33"/>
            <w:noWrap/>
            <w:vAlign w:val="bottom"/>
            <w:hideMark/>
          </w:tcPr>
          <w:p w14:paraId="56BBA6AA" w14:textId="77777777" w:rsidR="00301EFF" w:rsidRPr="00095E90" w:rsidRDefault="00301EFF" w:rsidP="00053D66">
            <w:pPr>
              <w:rPr>
                <w:rFonts w:ascii="Calibri" w:eastAsia="Times New Roman" w:hAnsi="Calibri" w:cs="Calibri"/>
                <w:color w:val="000000"/>
                <w:sz w:val="20"/>
                <w:szCs w:val="20"/>
              </w:rPr>
            </w:pPr>
            <w:r w:rsidRPr="00095E90">
              <w:rPr>
                <w:rFonts w:ascii="Calibri" w:eastAsia="Times New Roman" w:hAnsi="Calibri" w:cs="Calibri"/>
                <w:color w:val="000000"/>
                <w:sz w:val="20"/>
                <w:szCs w:val="20"/>
              </w:rPr>
              <w:t>3 Y</w:t>
            </w:r>
            <w:r>
              <w:rPr>
                <w:rFonts w:ascii="Calibri" w:eastAsia="Times New Roman" w:hAnsi="Calibri" w:cs="Calibri"/>
                <w:color w:val="000000"/>
                <w:sz w:val="20"/>
                <w:szCs w:val="20"/>
              </w:rPr>
              <w:t>ea</w:t>
            </w:r>
            <w:r w:rsidRPr="00095E90">
              <w:rPr>
                <w:rFonts w:ascii="Calibri" w:eastAsia="Times New Roman" w:hAnsi="Calibri" w:cs="Calibri"/>
                <w:color w:val="000000"/>
                <w:sz w:val="20"/>
                <w:szCs w:val="20"/>
              </w:rPr>
              <w:t>r Total</w:t>
            </w:r>
          </w:p>
        </w:tc>
      </w:tr>
      <w:tr w:rsidR="00301EFF" w:rsidRPr="00095E90" w14:paraId="69D049DB" w14:textId="77777777" w:rsidTr="00053D66">
        <w:trPr>
          <w:trHeight w:val="270"/>
        </w:trPr>
        <w:tc>
          <w:tcPr>
            <w:tcW w:w="1165" w:type="dxa"/>
            <w:shd w:val="clear" w:color="auto" w:fill="auto"/>
            <w:noWrap/>
            <w:vAlign w:val="bottom"/>
            <w:hideMark/>
          </w:tcPr>
          <w:p w14:paraId="278CC201" w14:textId="77777777" w:rsidR="00301EFF" w:rsidRPr="00095E90" w:rsidRDefault="00301EFF" w:rsidP="00053D66">
            <w:pPr>
              <w:jc w:val="right"/>
              <w:rPr>
                <w:rFonts w:ascii="Calibri" w:eastAsia="Times New Roman" w:hAnsi="Calibri" w:cs="Calibri"/>
                <w:color w:val="000000"/>
                <w:sz w:val="20"/>
                <w:szCs w:val="20"/>
              </w:rPr>
            </w:pPr>
            <w:r w:rsidRPr="00095E90">
              <w:rPr>
                <w:rFonts w:ascii="Calibri" w:eastAsia="Times New Roman" w:hAnsi="Calibri" w:cs="Calibri"/>
                <w:color w:val="000000"/>
                <w:sz w:val="20"/>
                <w:szCs w:val="20"/>
              </w:rPr>
              <w:t>$4,500</w:t>
            </w:r>
          </w:p>
        </w:tc>
        <w:tc>
          <w:tcPr>
            <w:tcW w:w="1170" w:type="dxa"/>
            <w:shd w:val="clear" w:color="auto" w:fill="auto"/>
            <w:noWrap/>
            <w:vAlign w:val="bottom"/>
            <w:hideMark/>
          </w:tcPr>
          <w:p w14:paraId="5DFB5AE1" w14:textId="77777777" w:rsidR="00301EFF" w:rsidRPr="00095E90" w:rsidRDefault="00301EFF" w:rsidP="00053D66">
            <w:pPr>
              <w:jc w:val="right"/>
              <w:rPr>
                <w:rFonts w:ascii="Calibri" w:eastAsia="Times New Roman" w:hAnsi="Calibri" w:cs="Calibri"/>
                <w:color w:val="000000"/>
                <w:sz w:val="20"/>
                <w:szCs w:val="20"/>
              </w:rPr>
            </w:pPr>
            <w:r w:rsidRPr="00095E90">
              <w:rPr>
                <w:rFonts w:ascii="Calibri" w:eastAsia="Times New Roman" w:hAnsi="Calibri" w:cs="Calibri"/>
                <w:color w:val="000000"/>
                <w:sz w:val="20"/>
                <w:szCs w:val="20"/>
              </w:rPr>
              <w:t>$4,500</w:t>
            </w:r>
          </w:p>
        </w:tc>
        <w:tc>
          <w:tcPr>
            <w:tcW w:w="1080" w:type="dxa"/>
            <w:shd w:val="clear" w:color="auto" w:fill="auto"/>
            <w:noWrap/>
            <w:vAlign w:val="bottom"/>
            <w:hideMark/>
          </w:tcPr>
          <w:p w14:paraId="0EDA64A0" w14:textId="77777777" w:rsidR="00301EFF" w:rsidRPr="00095E90" w:rsidRDefault="00301EFF" w:rsidP="00053D66">
            <w:pPr>
              <w:jc w:val="right"/>
              <w:rPr>
                <w:rFonts w:ascii="Calibri" w:eastAsia="Times New Roman" w:hAnsi="Calibri" w:cs="Calibri"/>
                <w:color w:val="000000"/>
                <w:sz w:val="20"/>
                <w:szCs w:val="20"/>
              </w:rPr>
            </w:pPr>
            <w:r w:rsidRPr="00095E90">
              <w:rPr>
                <w:rFonts w:ascii="Calibri" w:eastAsia="Times New Roman" w:hAnsi="Calibri" w:cs="Calibri"/>
                <w:color w:val="000000"/>
                <w:sz w:val="20"/>
                <w:szCs w:val="20"/>
              </w:rPr>
              <w:t>$5,775</w:t>
            </w:r>
          </w:p>
        </w:tc>
        <w:tc>
          <w:tcPr>
            <w:tcW w:w="1350" w:type="dxa"/>
            <w:shd w:val="clear" w:color="auto" w:fill="auto"/>
            <w:noWrap/>
            <w:vAlign w:val="bottom"/>
            <w:hideMark/>
          </w:tcPr>
          <w:p w14:paraId="6B52FD67" w14:textId="77777777" w:rsidR="00301EFF" w:rsidRPr="00095E90" w:rsidRDefault="00301EFF" w:rsidP="00053D66">
            <w:pPr>
              <w:jc w:val="right"/>
              <w:rPr>
                <w:rFonts w:ascii="Calibri" w:eastAsia="Times New Roman" w:hAnsi="Calibri" w:cs="Calibri"/>
                <w:color w:val="000000"/>
                <w:sz w:val="20"/>
                <w:szCs w:val="20"/>
              </w:rPr>
            </w:pPr>
            <w:r w:rsidRPr="00095E90">
              <w:rPr>
                <w:rFonts w:ascii="Calibri" w:eastAsia="Times New Roman" w:hAnsi="Calibri" w:cs="Calibri"/>
                <w:color w:val="000000"/>
                <w:sz w:val="20"/>
                <w:szCs w:val="20"/>
              </w:rPr>
              <w:t>$14,775</w:t>
            </w:r>
          </w:p>
        </w:tc>
      </w:tr>
    </w:tbl>
    <w:p w14:paraId="76AE570F" w14:textId="77777777" w:rsidR="00301EFF" w:rsidRDefault="00301EFF" w:rsidP="00301EFF"/>
    <w:p w14:paraId="194EC7FF" w14:textId="77777777" w:rsidR="00301EFF" w:rsidRPr="00F3490D" w:rsidRDefault="00301EFF" w:rsidP="00F3490D">
      <w:r w:rsidRPr="00F3490D">
        <w:t>Note that these budgets maintain a $4.5 million dollar budget for the first two years, but the budget for Year 3 exceeds that amount.  This extra amount is the result of including (vs. eliminating) projects specifically called out in the Evaluation Committee meeting held on 12/13/21.  Without these projects, the budget is approximately $13.5 million ($4.5 million times 3 years).  However, each of these Discussion projects was called out and discussed during the Committee meeting. Eight of the projects were retained, because the committee considered them priorities (and the budget was reduced for one of the projects). These eight projects represent approximately $1.4 million dollars of the budget.</w:t>
      </w:r>
      <w:r w:rsidRPr="00F3490D">
        <w:rPr>
          <w:rStyle w:val="FootnoteReference"/>
        </w:rPr>
        <w:footnoteReference w:id="4"/>
      </w:r>
      <w:r w:rsidRPr="00F3490D">
        <w:t xml:space="preserve">  </w:t>
      </w:r>
    </w:p>
    <w:p w14:paraId="6DDAD5EA" w14:textId="1E2052DD" w:rsidR="004E7488" w:rsidRDefault="00301EFF" w:rsidP="00F3490D">
      <w:r w:rsidRPr="00F3490D">
        <w:t xml:space="preserve">With these projects, the total budget then exceeds the 3-year budget currently allocated in the C&amp;LM Plan by $1.275 million, or 9%.  The levelized cost </w:t>
      </w:r>
      <w:r w:rsidR="00954F2C">
        <w:t>of the priority evaluation studies i</w:t>
      </w:r>
      <w:r w:rsidRPr="00F3490D">
        <w:t>s $4.9 million per year</w:t>
      </w:r>
      <w:r w:rsidR="004E7488">
        <w:t>, rather than the $4.5 million in the adopted C&amp;LM Plan</w:t>
      </w:r>
      <w:r w:rsidRPr="00F3490D">
        <w:t xml:space="preserve">.  </w:t>
      </w:r>
    </w:p>
    <w:p w14:paraId="554F5158" w14:textId="77777777" w:rsidR="00400FF5" w:rsidRDefault="005B2208" w:rsidP="00F3490D">
      <w:r w:rsidRPr="005B2208">
        <w:rPr>
          <w:b/>
          <w:bCs/>
        </w:rPr>
        <w:t>Moving to a Revised</w:t>
      </w:r>
      <w:r w:rsidR="00954F2C">
        <w:rPr>
          <w:b/>
          <w:bCs/>
        </w:rPr>
        <w:t xml:space="preserve"> Budget-Setting</w:t>
      </w:r>
      <w:r w:rsidRPr="005B2208">
        <w:rPr>
          <w:b/>
          <w:bCs/>
        </w:rPr>
        <w:t xml:space="preserve"> Process:</w:t>
      </w:r>
      <w:r>
        <w:t xml:space="preserve">  </w:t>
      </w:r>
      <w:r w:rsidR="00954F2C">
        <w:t>T</w:t>
      </w:r>
      <w:r w:rsidR="00301EFF" w:rsidRPr="00F3490D">
        <w:t xml:space="preserve">he Board </w:t>
      </w:r>
      <w:r w:rsidR="004E7488">
        <w:t xml:space="preserve">has requested a revised process going forward, in which the Evaluation Committee develops an Evaluation Plan that identifies the </w:t>
      </w:r>
      <w:r w:rsidR="00301EFF" w:rsidRPr="00F3490D">
        <w:t>budget needs for evaluation</w:t>
      </w:r>
      <w:r w:rsidR="004E7488">
        <w:t>, which then is used to inform the numbers in</w:t>
      </w:r>
      <w:r w:rsidR="00954F2C">
        <w:t>cluded in</w:t>
      </w:r>
      <w:r w:rsidR="004E7488">
        <w:t xml:space="preserve"> the C&amp;LM Plan</w:t>
      </w:r>
      <w:r w:rsidR="00954F2C">
        <w:t xml:space="preserve"> Budget tables</w:t>
      </w:r>
      <w:r w:rsidR="004E7488">
        <w:t xml:space="preserve">.  </w:t>
      </w:r>
      <w:r>
        <w:t xml:space="preserve">The Evaluation Administrators </w:t>
      </w:r>
      <w:r w:rsidR="00954F2C">
        <w:t xml:space="preserve">have </w:t>
      </w:r>
      <w:r>
        <w:t>commit</w:t>
      </w:r>
      <w:r w:rsidR="00954F2C">
        <w:t xml:space="preserve">ted </w:t>
      </w:r>
      <w:r>
        <w:t xml:space="preserve">to </w:t>
      </w:r>
      <w:r w:rsidR="00954F2C">
        <w:t xml:space="preserve">this improved </w:t>
      </w:r>
      <w:r>
        <w:t>process</w:t>
      </w:r>
      <w:r w:rsidR="00954F2C">
        <w:t>, and will move Evaluation Planning forward in the year to</w:t>
      </w:r>
      <w:r>
        <w:t xml:space="preserve"> accomplish this in the future. </w:t>
      </w:r>
    </w:p>
    <w:p w14:paraId="5006E3DF" w14:textId="5954061B" w:rsidR="00400FF5" w:rsidRDefault="005B2208" w:rsidP="00F3490D">
      <w:r>
        <w:t xml:space="preserve">This year, </w:t>
      </w:r>
      <w:r w:rsidR="00954F2C">
        <w:t>there was a partial move toward that kind of process.  T</w:t>
      </w:r>
      <w:r>
        <w:t xml:space="preserve">he EA was invited to participate in </w:t>
      </w:r>
      <w:r w:rsidR="00954F2C">
        <w:t xml:space="preserve">early stages of the </w:t>
      </w:r>
      <w:r>
        <w:t xml:space="preserve">C&amp;LM Committee, and provided advice regarding Connecticut’s low share </w:t>
      </w:r>
      <w:r w:rsidR="00954F2C">
        <w:t>of evaluation budge</w:t>
      </w:r>
      <w:r w:rsidR="00400FF5">
        <w:t>t</w:t>
      </w:r>
      <w:r w:rsidR="00954F2C">
        <w:t xml:space="preserve"> compared to national numbers.  The EA recommended an increase to a figure closer to 2%+ of the C&amp;LM Plan.  </w:t>
      </w:r>
      <w:r w:rsidR="00400FF5">
        <w:t xml:space="preserve">Based on rough calculations, a figure of $4.5 million in the first year, with additional ramp up on an undetermined schedule, was generally put forward and supported.  </w:t>
      </w:r>
      <w:r w:rsidR="00954F2C">
        <w:t xml:space="preserve"> </w:t>
      </w:r>
      <w:r w:rsidR="00400FF5">
        <w:t xml:space="preserve">The EEB’s adoption of the </w:t>
      </w:r>
      <w:proofErr w:type="gramStart"/>
      <w:r w:rsidR="00400FF5">
        <w:t>Three Year</w:t>
      </w:r>
      <w:proofErr w:type="gramEnd"/>
      <w:r w:rsidR="00400FF5">
        <w:t xml:space="preserve"> C&amp;LM Plan included a static placeholder $4.5 million budget for each of the three years</w:t>
      </w:r>
      <w:r w:rsidR="009E2374">
        <w:t xml:space="preserve"> of the plan.  For the 2022-24 period, the Board has </w:t>
      </w:r>
      <w:r w:rsidR="009E2374" w:rsidRPr="00F3490D">
        <w:t xml:space="preserve">requested </w:t>
      </w:r>
      <w:r w:rsidR="009E2374">
        <w:t xml:space="preserve">information </w:t>
      </w:r>
      <w:r w:rsidR="009E2374" w:rsidRPr="00F3490D">
        <w:t xml:space="preserve">on what evaluation work </w:t>
      </w:r>
      <w:r w:rsidR="009E2374">
        <w:t xml:space="preserve">would be included in the Plan.  </w:t>
      </w:r>
      <w:r w:rsidR="00400FF5">
        <w:t>The Evaluation Administrator committed to developing the Plan, and presenting the project list and budget to the EEB in January 2022.</w:t>
      </w:r>
    </w:p>
    <w:p w14:paraId="2281CA4E" w14:textId="439FB4DD" w:rsidR="00301EFF" w:rsidRPr="00F3490D" w:rsidRDefault="009E2374" w:rsidP="00F3490D">
      <w:r>
        <w:t>As mentioned above, that stakeholder process and prioritization identified the studies included in this document.  T</w:t>
      </w:r>
      <w:r w:rsidR="00301EFF" w:rsidRPr="00F3490D">
        <w:t xml:space="preserve">he Evaluation Plan list suggests that priority Evaluation needs are $4.5 million in years 1 and 2, and $5.8 million in Year 3.  </w:t>
      </w:r>
    </w:p>
    <w:p w14:paraId="76E79A8D" w14:textId="16C2278D" w:rsidR="00D2758D" w:rsidRPr="0013709B" w:rsidRDefault="009A7424" w:rsidP="00F3490D">
      <w:pPr>
        <w:spacing w:after="0"/>
      </w:pPr>
      <w:r w:rsidRPr="00F3490D">
        <w:t>The</w:t>
      </w:r>
      <w:r w:rsidR="00D2758D" w:rsidRPr="00F3490D">
        <w:t xml:space="preserve"> budgets presented in these tables</w:t>
      </w:r>
      <w:r w:rsidRPr="00F3490D">
        <w:t xml:space="preserve"> are for this new set of </w:t>
      </w:r>
      <w:r w:rsidR="001F52FC" w:rsidRPr="00F3490D">
        <w:t>2022-24</w:t>
      </w:r>
      <w:r w:rsidR="00A35ABD" w:rsidRPr="00F3490D">
        <w:t xml:space="preserve"> Three</w:t>
      </w:r>
      <w:r w:rsidRPr="00F3490D">
        <w:t xml:space="preserve">-year plan projects.  The budget does not address any projects that were part of the previous Plan, </w:t>
      </w:r>
      <w:r w:rsidR="00D2758D" w:rsidRPr="00F3490D">
        <w:t xml:space="preserve">and particularly does not include projects that started in </w:t>
      </w:r>
      <w:r w:rsidR="005A22A9" w:rsidRPr="00F3490D">
        <w:t xml:space="preserve">2020 or 2021 </w:t>
      </w:r>
      <w:r w:rsidR="00D2758D" w:rsidRPr="00F3490D">
        <w:t xml:space="preserve">but have work that </w:t>
      </w:r>
      <w:r w:rsidRPr="00F3490D">
        <w:t>may continue into 20</w:t>
      </w:r>
      <w:r w:rsidR="005A22A9" w:rsidRPr="00F3490D">
        <w:t>22</w:t>
      </w:r>
      <w:r w:rsidRPr="00F3490D">
        <w:t xml:space="preserve"> or even 202</w:t>
      </w:r>
      <w:r w:rsidR="005A22A9" w:rsidRPr="00F3490D">
        <w:t>3</w:t>
      </w:r>
      <w:r w:rsidRPr="00F3490D">
        <w:t xml:space="preserve">.  All those projects were fully funded from </w:t>
      </w:r>
      <w:r w:rsidR="005A22A9" w:rsidRPr="00F3490D">
        <w:t>2019-21</w:t>
      </w:r>
      <w:r w:rsidRPr="00F3490D">
        <w:t xml:space="preserve"> dollars, and the accruals have been </w:t>
      </w:r>
      <w:r w:rsidR="00D2758D" w:rsidRPr="00F3490D">
        <w:t xml:space="preserve">separately accounted for by the utilities.  </w:t>
      </w:r>
      <w:r w:rsidR="00A35ABD" w:rsidRPr="00F3490D">
        <w:t xml:space="preserve">They do not spill over into </w:t>
      </w:r>
      <w:r w:rsidR="001F52FC" w:rsidRPr="00F3490D">
        <w:t>2022-24</w:t>
      </w:r>
      <w:r w:rsidR="00A35ABD" w:rsidRPr="00F3490D">
        <w:t xml:space="preserve"> evaluation plan dollars.</w:t>
      </w:r>
    </w:p>
    <w:p w14:paraId="2E20FB00" w14:textId="77777777" w:rsidR="00D2758D" w:rsidRDefault="00D2758D" w:rsidP="00F3490D">
      <w:pPr>
        <w:spacing w:after="0"/>
      </w:pPr>
    </w:p>
    <w:p w14:paraId="239707AB" w14:textId="77777777" w:rsidR="00DB1055" w:rsidRDefault="00DB1055" w:rsidP="00F3490D">
      <w:pPr>
        <w:spacing w:after="0"/>
      </w:pPr>
    </w:p>
    <w:p w14:paraId="1B193B13" w14:textId="77777777" w:rsidR="009E2374" w:rsidRDefault="009E2374">
      <w:pPr>
        <w:rPr>
          <w:rFonts w:asciiTheme="majorHAnsi" w:eastAsiaTheme="majorEastAsia" w:hAnsiTheme="majorHAnsi" w:cstheme="majorBidi"/>
          <w:color w:val="2E74B5" w:themeColor="accent1" w:themeShade="BF"/>
          <w:sz w:val="26"/>
          <w:szCs w:val="26"/>
        </w:rPr>
      </w:pPr>
      <w:r>
        <w:br w:type="page"/>
      </w:r>
    </w:p>
    <w:p w14:paraId="0413790F" w14:textId="54E3DF54" w:rsidR="00D71A00" w:rsidRPr="00D3466E" w:rsidRDefault="00A35ABD" w:rsidP="00F3490D">
      <w:pPr>
        <w:pStyle w:val="Heading2"/>
      </w:pPr>
      <w:bookmarkStart w:id="7" w:name="_Toc90618552"/>
      <w:r w:rsidRPr="00D3466E">
        <w:t>Budget</w:t>
      </w:r>
      <w:r w:rsidR="00580808">
        <w:t xml:space="preserve"> </w:t>
      </w:r>
      <w:r w:rsidRPr="00D3466E">
        <w:t xml:space="preserve">for the </w:t>
      </w:r>
      <w:r w:rsidR="00C8178A" w:rsidRPr="00D3466E">
        <w:t>Three-Year</w:t>
      </w:r>
      <w:r w:rsidRPr="00D3466E">
        <w:t xml:space="preserve"> Evaluation Budget and Plan</w:t>
      </w:r>
      <w:bookmarkEnd w:id="7"/>
      <w:r w:rsidRPr="00D3466E">
        <w:t xml:space="preserve">  </w:t>
      </w:r>
    </w:p>
    <w:p w14:paraId="017FA867" w14:textId="77777777" w:rsidR="00D71A00" w:rsidRDefault="00D71A00" w:rsidP="00F3490D">
      <w:pPr>
        <w:spacing w:after="0"/>
      </w:pPr>
    </w:p>
    <w:p w14:paraId="18E516EE" w14:textId="6268A1C0" w:rsidR="00BB1354" w:rsidRDefault="00BB1354" w:rsidP="00F3490D">
      <w:pPr>
        <w:spacing w:before="240" w:after="0"/>
      </w:pPr>
      <w:r>
        <w:t xml:space="preserve">The tables below summarize the </w:t>
      </w:r>
      <w:r w:rsidR="00AF5783">
        <w:t>budget</w:t>
      </w:r>
      <w:r w:rsidR="00695A41">
        <w:t xml:space="preserve"> </w:t>
      </w:r>
      <w:r>
        <w:t xml:space="preserve">totals – by sector, </w:t>
      </w:r>
      <w:r w:rsidR="00695A41">
        <w:t xml:space="preserve">by evaluation type, </w:t>
      </w:r>
      <w:r w:rsidR="00C042E6">
        <w:t>and by year</w:t>
      </w:r>
      <w:r>
        <w:t>.</w:t>
      </w:r>
      <w:r>
        <w:rPr>
          <w:rStyle w:val="FootnoteReference"/>
        </w:rPr>
        <w:footnoteReference w:id="5"/>
      </w:r>
      <w:r>
        <w:t xml:space="preserve">  </w:t>
      </w:r>
    </w:p>
    <w:p w14:paraId="71F0AC93" w14:textId="057BE678" w:rsidR="008A3769" w:rsidRDefault="008A3769" w:rsidP="00F3490D">
      <w:pPr>
        <w:spacing w:after="0"/>
      </w:pPr>
    </w:p>
    <w:p w14:paraId="6489AA1B" w14:textId="727E6815" w:rsidR="00695A41" w:rsidRPr="00EE2B04" w:rsidRDefault="00695A41" w:rsidP="00F3490D">
      <w:pPr>
        <w:spacing w:after="0"/>
        <w:rPr>
          <w:b/>
          <w:sz w:val="20"/>
          <w:szCs w:val="20"/>
        </w:rPr>
      </w:pPr>
      <w:r w:rsidRPr="00EE2B04">
        <w:rPr>
          <w:b/>
          <w:sz w:val="20"/>
          <w:szCs w:val="20"/>
        </w:rPr>
        <w:t xml:space="preserve">Figure </w:t>
      </w:r>
      <w:r w:rsidR="0013709B">
        <w:rPr>
          <w:b/>
          <w:sz w:val="20"/>
          <w:szCs w:val="20"/>
        </w:rPr>
        <w:t>2</w:t>
      </w:r>
      <w:r w:rsidRPr="00EE2B04">
        <w:rPr>
          <w:b/>
          <w:sz w:val="20"/>
          <w:szCs w:val="20"/>
        </w:rPr>
        <w:t>.1:  Recommended Evaluation Plan Budget and Project Counts by Sector and Year</w:t>
      </w:r>
    </w:p>
    <w:p w14:paraId="104FB789" w14:textId="77777777" w:rsidR="00695A41" w:rsidRDefault="00695A41" w:rsidP="00F3490D">
      <w:pPr>
        <w:spacing w:after="0"/>
        <w:rPr>
          <w:i/>
          <w:sz w:val="18"/>
          <w:szCs w:val="20"/>
        </w:rPr>
      </w:pPr>
      <w:r w:rsidRPr="00C8178A">
        <w:rPr>
          <w:i/>
          <w:sz w:val="18"/>
          <w:szCs w:val="20"/>
        </w:rPr>
        <w:t>Round totals to $1.93 million, $3 million, and $3 million in 2019, 2020, and 2021, respectively</w:t>
      </w:r>
    </w:p>
    <w:tbl>
      <w:tblPr>
        <w:tblW w:w="7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900"/>
        <w:gridCol w:w="990"/>
        <w:gridCol w:w="835"/>
        <w:gridCol w:w="1235"/>
        <w:gridCol w:w="1260"/>
        <w:gridCol w:w="1159"/>
      </w:tblGrid>
      <w:tr w:rsidR="00695A41" w:rsidRPr="00FE6794" w14:paraId="753B90F6" w14:textId="77777777" w:rsidTr="00053D66">
        <w:trPr>
          <w:trHeight w:val="295"/>
        </w:trPr>
        <w:tc>
          <w:tcPr>
            <w:tcW w:w="1435" w:type="dxa"/>
            <w:shd w:val="clear" w:color="auto" w:fill="D9E2F3" w:themeFill="accent5" w:themeFillTint="33"/>
            <w:noWrap/>
            <w:vAlign w:val="bottom"/>
            <w:hideMark/>
          </w:tcPr>
          <w:p w14:paraId="5D40C18F" w14:textId="77777777" w:rsidR="00695A41" w:rsidRPr="00FE6794" w:rsidRDefault="00695A41" w:rsidP="00F3490D">
            <w:pPr>
              <w:spacing w:after="0" w:line="240" w:lineRule="auto"/>
              <w:rPr>
                <w:rFonts w:ascii="Times New Roman" w:eastAsia="Times New Roman" w:hAnsi="Times New Roman" w:cs="Times New Roman"/>
                <w:sz w:val="20"/>
                <w:szCs w:val="20"/>
              </w:rPr>
            </w:pPr>
          </w:p>
        </w:tc>
        <w:tc>
          <w:tcPr>
            <w:tcW w:w="900" w:type="dxa"/>
            <w:shd w:val="clear" w:color="auto" w:fill="D9E2F3" w:themeFill="accent5" w:themeFillTint="33"/>
            <w:noWrap/>
            <w:vAlign w:val="bottom"/>
            <w:hideMark/>
          </w:tcPr>
          <w:p w14:paraId="184E6D08" w14:textId="77777777" w:rsidR="00695A41" w:rsidRPr="00FE6794" w:rsidRDefault="00695A41" w:rsidP="00F3490D">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 xml:space="preserve">Budget </w:t>
            </w:r>
            <w:r w:rsidRPr="00FE6794">
              <w:rPr>
                <w:rFonts w:ascii="Calibri" w:eastAsia="Times New Roman" w:hAnsi="Calibri" w:cs="Calibri"/>
                <w:color w:val="000000"/>
                <w:sz w:val="20"/>
                <w:szCs w:val="20"/>
              </w:rPr>
              <w:t>Year 1</w:t>
            </w:r>
          </w:p>
        </w:tc>
        <w:tc>
          <w:tcPr>
            <w:tcW w:w="990" w:type="dxa"/>
            <w:shd w:val="clear" w:color="auto" w:fill="D9E2F3" w:themeFill="accent5" w:themeFillTint="33"/>
            <w:noWrap/>
            <w:vAlign w:val="bottom"/>
            <w:hideMark/>
          </w:tcPr>
          <w:p w14:paraId="13B99CD5" w14:textId="77777777" w:rsidR="00695A41" w:rsidRPr="00FE6794" w:rsidRDefault="00695A41" w:rsidP="00F3490D">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 xml:space="preserve">Budget </w:t>
            </w:r>
            <w:r w:rsidRPr="00FE6794">
              <w:rPr>
                <w:rFonts w:ascii="Calibri" w:eastAsia="Times New Roman" w:hAnsi="Calibri" w:cs="Calibri"/>
                <w:color w:val="000000"/>
                <w:sz w:val="20"/>
                <w:szCs w:val="20"/>
              </w:rPr>
              <w:t>Year 2</w:t>
            </w:r>
          </w:p>
        </w:tc>
        <w:tc>
          <w:tcPr>
            <w:tcW w:w="835" w:type="dxa"/>
            <w:shd w:val="clear" w:color="auto" w:fill="D9E2F3" w:themeFill="accent5" w:themeFillTint="33"/>
            <w:noWrap/>
            <w:vAlign w:val="bottom"/>
            <w:hideMark/>
          </w:tcPr>
          <w:p w14:paraId="52C25173" w14:textId="77777777" w:rsidR="00695A41" w:rsidRPr="00FE6794" w:rsidRDefault="00695A41" w:rsidP="00F3490D">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 xml:space="preserve">Budget </w:t>
            </w:r>
            <w:r w:rsidRPr="00FE6794">
              <w:rPr>
                <w:rFonts w:ascii="Calibri" w:eastAsia="Times New Roman" w:hAnsi="Calibri" w:cs="Calibri"/>
                <w:color w:val="000000"/>
                <w:sz w:val="20"/>
                <w:szCs w:val="20"/>
              </w:rPr>
              <w:t>Year 3</w:t>
            </w:r>
          </w:p>
        </w:tc>
        <w:tc>
          <w:tcPr>
            <w:tcW w:w="1235" w:type="dxa"/>
            <w:shd w:val="clear" w:color="auto" w:fill="D9E2F3" w:themeFill="accent5" w:themeFillTint="33"/>
            <w:noWrap/>
            <w:vAlign w:val="bottom"/>
            <w:hideMark/>
          </w:tcPr>
          <w:p w14:paraId="03BB79DB" w14:textId="77777777" w:rsidR="00695A41" w:rsidRPr="00FE6794" w:rsidRDefault="00695A41" w:rsidP="00F3490D">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Total</w:t>
            </w:r>
            <w:r>
              <w:rPr>
                <w:rFonts w:ascii="Calibri" w:eastAsia="Times New Roman" w:hAnsi="Calibri" w:cs="Calibri"/>
                <w:color w:val="000000"/>
                <w:sz w:val="20"/>
                <w:szCs w:val="20"/>
              </w:rPr>
              <w:t xml:space="preserve"> 3-year Budget</w:t>
            </w:r>
          </w:p>
        </w:tc>
        <w:tc>
          <w:tcPr>
            <w:tcW w:w="1260" w:type="dxa"/>
            <w:shd w:val="clear" w:color="auto" w:fill="D9E2F3" w:themeFill="accent5" w:themeFillTint="33"/>
          </w:tcPr>
          <w:p w14:paraId="4A3E6833" w14:textId="77777777" w:rsidR="00695A41" w:rsidRPr="00FE6794" w:rsidRDefault="00695A41" w:rsidP="00F3490D">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Share of total budget</w:t>
            </w:r>
          </w:p>
        </w:tc>
        <w:tc>
          <w:tcPr>
            <w:tcW w:w="1159" w:type="dxa"/>
            <w:shd w:val="clear" w:color="auto" w:fill="D9E2F3" w:themeFill="accent5" w:themeFillTint="33"/>
          </w:tcPr>
          <w:p w14:paraId="57305BB8" w14:textId="77777777" w:rsidR="00695A41" w:rsidRDefault="00695A41" w:rsidP="00F3490D">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Number of Projects</w:t>
            </w:r>
          </w:p>
        </w:tc>
      </w:tr>
      <w:tr w:rsidR="00695A41" w:rsidRPr="00FE6794" w14:paraId="06E18440" w14:textId="77777777" w:rsidTr="00053D66">
        <w:trPr>
          <w:trHeight w:val="295"/>
        </w:trPr>
        <w:tc>
          <w:tcPr>
            <w:tcW w:w="1435" w:type="dxa"/>
            <w:shd w:val="clear" w:color="auto" w:fill="D9E2F3" w:themeFill="accent5" w:themeFillTint="33"/>
            <w:noWrap/>
            <w:vAlign w:val="bottom"/>
            <w:hideMark/>
          </w:tcPr>
          <w:p w14:paraId="09351585" w14:textId="77777777" w:rsidR="00695A41" w:rsidRPr="00FE6794" w:rsidRDefault="00695A41" w:rsidP="00053D66">
            <w:pPr>
              <w:spacing w:after="0" w:line="240" w:lineRule="auto"/>
              <w:rPr>
                <w:rFonts w:ascii="Calibri" w:eastAsia="Times New Roman" w:hAnsi="Calibri" w:cs="Calibri"/>
                <w:color w:val="000000"/>
                <w:sz w:val="20"/>
                <w:szCs w:val="20"/>
              </w:rPr>
            </w:pPr>
            <w:r w:rsidRPr="00FE6794">
              <w:rPr>
                <w:rFonts w:ascii="Calibri" w:eastAsia="Times New Roman" w:hAnsi="Calibri" w:cs="Calibri"/>
                <w:color w:val="000000"/>
                <w:sz w:val="20"/>
                <w:szCs w:val="20"/>
              </w:rPr>
              <w:t>Residential</w:t>
            </w:r>
          </w:p>
        </w:tc>
        <w:tc>
          <w:tcPr>
            <w:tcW w:w="900" w:type="dxa"/>
            <w:shd w:val="clear" w:color="auto" w:fill="auto"/>
            <w:noWrap/>
            <w:vAlign w:val="bottom"/>
            <w:hideMark/>
          </w:tcPr>
          <w:p w14:paraId="54875560"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$1,595</w:t>
            </w:r>
          </w:p>
        </w:tc>
        <w:tc>
          <w:tcPr>
            <w:tcW w:w="990" w:type="dxa"/>
            <w:shd w:val="clear" w:color="auto" w:fill="auto"/>
            <w:noWrap/>
            <w:vAlign w:val="bottom"/>
            <w:hideMark/>
          </w:tcPr>
          <w:p w14:paraId="66E31758"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$1,169</w:t>
            </w:r>
          </w:p>
        </w:tc>
        <w:tc>
          <w:tcPr>
            <w:tcW w:w="835" w:type="dxa"/>
            <w:shd w:val="clear" w:color="auto" w:fill="auto"/>
            <w:noWrap/>
            <w:vAlign w:val="bottom"/>
            <w:hideMark/>
          </w:tcPr>
          <w:p w14:paraId="31037225"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$2,226</w:t>
            </w:r>
          </w:p>
        </w:tc>
        <w:tc>
          <w:tcPr>
            <w:tcW w:w="1235" w:type="dxa"/>
            <w:shd w:val="clear" w:color="auto" w:fill="auto"/>
            <w:noWrap/>
            <w:vAlign w:val="bottom"/>
            <w:hideMark/>
          </w:tcPr>
          <w:p w14:paraId="6C3ED3D9"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$4,990</w:t>
            </w:r>
          </w:p>
        </w:tc>
        <w:tc>
          <w:tcPr>
            <w:tcW w:w="1260" w:type="dxa"/>
          </w:tcPr>
          <w:p w14:paraId="415226F1"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34%</w:t>
            </w:r>
          </w:p>
        </w:tc>
        <w:tc>
          <w:tcPr>
            <w:tcW w:w="1159" w:type="dxa"/>
          </w:tcPr>
          <w:p w14:paraId="07ACAFD0" w14:textId="77777777" w:rsidR="00695A41" w:rsidRDefault="00695A41" w:rsidP="00053D66">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15</w:t>
            </w:r>
          </w:p>
        </w:tc>
      </w:tr>
      <w:tr w:rsidR="00695A41" w:rsidRPr="00FE6794" w14:paraId="63FA7779" w14:textId="77777777" w:rsidTr="00053D66">
        <w:trPr>
          <w:trHeight w:val="310"/>
        </w:trPr>
        <w:tc>
          <w:tcPr>
            <w:tcW w:w="1435" w:type="dxa"/>
            <w:shd w:val="clear" w:color="auto" w:fill="D9E2F3" w:themeFill="accent5" w:themeFillTint="33"/>
            <w:noWrap/>
            <w:vAlign w:val="bottom"/>
            <w:hideMark/>
          </w:tcPr>
          <w:p w14:paraId="149B3BE2" w14:textId="77777777" w:rsidR="00695A41" w:rsidRPr="00FE6794" w:rsidRDefault="00695A41" w:rsidP="00053D66">
            <w:pPr>
              <w:spacing w:after="0" w:line="240" w:lineRule="auto"/>
              <w:rPr>
                <w:rFonts w:ascii="Calibri" w:eastAsia="Times New Roman" w:hAnsi="Calibri" w:cs="Calibri"/>
                <w:color w:val="000000"/>
                <w:sz w:val="20"/>
                <w:szCs w:val="20"/>
              </w:rPr>
            </w:pPr>
            <w:r w:rsidRPr="00FE6794">
              <w:rPr>
                <w:rFonts w:ascii="Calibri" w:eastAsia="Times New Roman" w:hAnsi="Calibri" w:cs="Calibri"/>
                <w:color w:val="000000"/>
                <w:sz w:val="20"/>
                <w:szCs w:val="20"/>
              </w:rPr>
              <w:t xml:space="preserve">Commercial </w:t>
            </w:r>
          </w:p>
        </w:tc>
        <w:tc>
          <w:tcPr>
            <w:tcW w:w="900" w:type="dxa"/>
            <w:shd w:val="clear" w:color="auto" w:fill="auto"/>
            <w:noWrap/>
            <w:vAlign w:val="bottom"/>
            <w:hideMark/>
          </w:tcPr>
          <w:p w14:paraId="2254FC29"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$1,330</w:t>
            </w:r>
          </w:p>
        </w:tc>
        <w:tc>
          <w:tcPr>
            <w:tcW w:w="990" w:type="dxa"/>
            <w:shd w:val="clear" w:color="auto" w:fill="auto"/>
            <w:noWrap/>
            <w:vAlign w:val="bottom"/>
            <w:hideMark/>
          </w:tcPr>
          <w:p w14:paraId="315A6712"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$1,180</w:t>
            </w:r>
          </w:p>
        </w:tc>
        <w:tc>
          <w:tcPr>
            <w:tcW w:w="835" w:type="dxa"/>
            <w:shd w:val="clear" w:color="auto" w:fill="auto"/>
            <w:noWrap/>
            <w:vAlign w:val="bottom"/>
            <w:hideMark/>
          </w:tcPr>
          <w:p w14:paraId="7430DD86"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$1,400</w:t>
            </w:r>
          </w:p>
        </w:tc>
        <w:tc>
          <w:tcPr>
            <w:tcW w:w="1235" w:type="dxa"/>
            <w:shd w:val="clear" w:color="auto" w:fill="auto"/>
            <w:noWrap/>
            <w:vAlign w:val="bottom"/>
            <w:hideMark/>
          </w:tcPr>
          <w:p w14:paraId="11AF6288"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$3,910</w:t>
            </w:r>
          </w:p>
        </w:tc>
        <w:tc>
          <w:tcPr>
            <w:tcW w:w="1260" w:type="dxa"/>
          </w:tcPr>
          <w:p w14:paraId="1063B0D5"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26%</w:t>
            </w:r>
          </w:p>
        </w:tc>
        <w:tc>
          <w:tcPr>
            <w:tcW w:w="1159" w:type="dxa"/>
          </w:tcPr>
          <w:p w14:paraId="5B83A269" w14:textId="77777777" w:rsidR="00695A41" w:rsidRDefault="00695A41" w:rsidP="00053D66">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8</w:t>
            </w:r>
          </w:p>
        </w:tc>
      </w:tr>
      <w:tr w:rsidR="00695A41" w:rsidRPr="00FE6794" w14:paraId="13ED95B2" w14:textId="77777777" w:rsidTr="00053D66">
        <w:trPr>
          <w:trHeight w:val="295"/>
        </w:trPr>
        <w:tc>
          <w:tcPr>
            <w:tcW w:w="1435" w:type="dxa"/>
            <w:shd w:val="clear" w:color="auto" w:fill="D9E2F3" w:themeFill="accent5" w:themeFillTint="33"/>
            <w:noWrap/>
            <w:vAlign w:val="bottom"/>
            <w:hideMark/>
          </w:tcPr>
          <w:p w14:paraId="1AC65B4A" w14:textId="77777777" w:rsidR="00695A41" w:rsidRPr="00FE6794" w:rsidRDefault="00695A41" w:rsidP="00053D66">
            <w:pPr>
              <w:spacing w:after="0" w:line="240" w:lineRule="auto"/>
              <w:rPr>
                <w:rFonts w:ascii="Calibri" w:eastAsia="Times New Roman" w:hAnsi="Calibri" w:cs="Calibri"/>
                <w:color w:val="000000"/>
                <w:sz w:val="20"/>
                <w:szCs w:val="20"/>
              </w:rPr>
            </w:pPr>
            <w:r w:rsidRPr="00FE6794">
              <w:rPr>
                <w:rFonts w:ascii="Calibri" w:eastAsia="Times New Roman" w:hAnsi="Calibri" w:cs="Calibri"/>
                <w:color w:val="000000"/>
                <w:sz w:val="20"/>
                <w:szCs w:val="20"/>
              </w:rPr>
              <w:t>Cross-sector</w:t>
            </w:r>
          </w:p>
        </w:tc>
        <w:tc>
          <w:tcPr>
            <w:tcW w:w="900" w:type="dxa"/>
            <w:shd w:val="clear" w:color="auto" w:fill="auto"/>
            <w:noWrap/>
            <w:vAlign w:val="bottom"/>
            <w:hideMark/>
          </w:tcPr>
          <w:p w14:paraId="46A8E2CD"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$1,575</w:t>
            </w:r>
          </w:p>
        </w:tc>
        <w:tc>
          <w:tcPr>
            <w:tcW w:w="990" w:type="dxa"/>
            <w:shd w:val="clear" w:color="auto" w:fill="auto"/>
            <w:noWrap/>
            <w:vAlign w:val="bottom"/>
            <w:hideMark/>
          </w:tcPr>
          <w:p w14:paraId="58119FCC"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$2,151</w:t>
            </w:r>
          </w:p>
        </w:tc>
        <w:tc>
          <w:tcPr>
            <w:tcW w:w="835" w:type="dxa"/>
            <w:shd w:val="clear" w:color="auto" w:fill="auto"/>
            <w:noWrap/>
            <w:vAlign w:val="bottom"/>
            <w:hideMark/>
          </w:tcPr>
          <w:p w14:paraId="372C4055"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$2,149</w:t>
            </w:r>
          </w:p>
        </w:tc>
        <w:tc>
          <w:tcPr>
            <w:tcW w:w="1235" w:type="dxa"/>
            <w:shd w:val="clear" w:color="auto" w:fill="auto"/>
            <w:noWrap/>
            <w:vAlign w:val="bottom"/>
            <w:hideMark/>
          </w:tcPr>
          <w:p w14:paraId="37ACD3F2"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$5,875</w:t>
            </w:r>
          </w:p>
        </w:tc>
        <w:tc>
          <w:tcPr>
            <w:tcW w:w="1260" w:type="dxa"/>
          </w:tcPr>
          <w:p w14:paraId="7C4BC74C"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40%</w:t>
            </w:r>
          </w:p>
        </w:tc>
        <w:tc>
          <w:tcPr>
            <w:tcW w:w="1159" w:type="dxa"/>
          </w:tcPr>
          <w:p w14:paraId="0229AD64" w14:textId="77777777" w:rsidR="00695A41" w:rsidRDefault="00695A41" w:rsidP="00053D66">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22</w:t>
            </w:r>
          </w:p>
        </w:tc>
      </w:tr>
      <w:tr w:rsidR="00695A41" w:rsidRPr="00FE6794" w14:paraId="50A57D12" w14:textId="77777777" w:rsidTr="00053D66">
        <w:trPr>
          <w:trHeight w:val="310"/>
        </w:trPr>
        <w:tc>
          <w:tcPr>
            <w:tcW w:w="1435" w:type="dxa"/>
            <w:shd w:val="clear" w:color="auto" w:fill="D9E2F3" w:themeFill="accent5" w:themeFillTint="33"/>
            <w:noWrap/>
            <w:vAlign w:val="bottom"/>
            <w:hideMark/>
          </w:tcPr>
          <w:p w14:paraId="1C948245" w14:textId="77777777" w:rsidR="00695A41" w:rsidRPr="00FE6794" w:rsidRDefault="00695A41" w:rsidP="00053D66">
            <w:pPr>
              <w:spacing w:after="0" w:line="240" w:lineRule="auto"/>
              <w:rPr>
                <w:rFonts w:ascii="Calibri" w:eastAsia="Times New Roman" w:hAnsi="Calibri" w:cs="Calibri"/>
                <w:color w:val="000000"/>
                <w:sz w:val="20"/>
                <w:szCs w:val="20"/>
              </w:rPr>
            </w:pPr>
            <w:r w:rsidRPr="00FE6794">
              <w:rPr>
                <w:rFonts w:ascii="Calibri" w:eastAsia="Times New Roman" w:hAnsi="Calibri" w:cs="Calibri"/>
                <w:color w:val="000000"/>
                <w:sz w:val="20"/>
                <w:szCs w:val="20"/>
              </w:rPr>
              <w:t>Total</w:t>
            </w:r>
          </w:p>
        </w:tc>
        <w:tc>
          <w:tcPr>
            <w:tcW w:w="900" w:type="dxa"/>
            <w:shd w:val="clear" w:color="auto" w:fill="auto"/>
            <w:noWrap/>
            <w:vAlign w:val="bottom"/>
            <w:hideMark/>
          </w:tcPr>
          <w:p w14:paraId="085648D1"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$4,500</w:t>
            </w:r>
          </w:p>
        </w:tc>
        <w:tc>
          <w:tcPr>
            <w:tcW w:w="990" w:type="dxa"/>
            <w:shd w:val="clear" w:color="auto" w:fill="auto"/>
            <w:noWrap/>
            <w:vAlign w:val="bottom"/>
            <w:hideMark/>
          </w:tcPr>
          <w:p w14:paraId="713432CB"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$4,500</w:t>
            </w:r>
          </w:p>
        </w:tc>
        <w:tc>
          <w:tcPr>
            <w:tcW w:w="835" w:type="dxa"/>
            <w:shd w:val="clear" w:color="auto" w:fill="auto"/>
            <w:noWrap/>
            <w:vAlign w:val="bottom"/>
            <w:hideMark/>
          </w:tcPr>
          <w:p w14:paraId="7A8D90C6"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$5,775</w:t>
            </w:r>
          </w:p>
        </w:tc>
        <w:tc>
          <w:tcPr>
            <w:tcW w:w="1235" w:type="dxa"/>
            <w:shd w:val="clear" w:color="auto" w:fill="auto"/>
            <w:noWrap/>
            <w:vAlign w:val="bottom"/>
            <w:hideMark/>
          </w:tcPr>
          <w:p w14:paraId="23F80606"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sidRPr="00FE6794">
              <w:rPr>
                <w:rFonts w:ascii="Calibri" w:eastAsia="Times New Roman" w:hAnsi="Calibri" w:cs="Calibri"/>
                <w:color w:val="000000"/>
                <w:sz w:val="20"/>
                <w:szCs w:val="20"/>
              </w:rPr>
              <w:t>$14,775</w:t>
            </w:r>
          </w:p>
        </w:tc>
        <w:tc>
          <w:tcPr>
            <w:tcW w:w="1260" w:type="dxa"/>
          </w:tcPr>
          <w:p w14:paraId="7D0BE506"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100%</w:t>
            </w:r>
          </w:p>
        </w:tc>
        <w:tc>
          <w:tcPr>
            <w:tcW w:w="1159" w:type="dxa"/>
          </w:tcPr>
          <w:p w14:paraId="4C5E1702" w14:textId="77777777" w:rsidR="00695A41" w:rsidRDefault="00695A41" w:rsidP="00053D66">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45</w:t>
            </w:r>
          </w:p>
        </w:tc>
      </w:tr>
      <w:tr w:rsidR="00695A41" w:rsidRPr="00FE6794" w14:paraId="2F19D9BB" w14:textId="77777777" w:rsidTr="00053D66">
        <w:trPr>
          <w:trHeight w:val="310"/>
        </w:trPr>
        <w:tc>
          <w:tcPr>
            <w:tcW w:w="1435" w:type="dxa"/>
            <w:shd w:val="clear" w:color="auto" w:fill="D9E2F3" w:themeFill="accent5" w:themeFillTint="33"/>
            <w:noWrap/>
            <w:vAlign w:val="bottom"/>
          </w:tcPr>
          <w:p w14:paraId="77BBF11B" w14:textId="77777777" w:rsidR="00695A41" w:rsidRPr="00FE6794" w:rsidRDefault="00695A41" w:rsidP="00053D66">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Share of Total</w:t>
            </w:r>
          </w:p>
        </w:tc>
        <w:tc>
          <w:tcPr>
            <w:tcW w:w="900" w:type="dxa"/>
            <w:shd w:val="clear" w:color="auto" w:fill="auto"/>
            <w:noWrap/>
            <w:vAlign w:val="bottom"/>
          </w:tcPr>
          <w:p w14:paraId="001D8349"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30.5%</w:t>
            </w:r>
          </w:p>
        </w:tc>
        <w:tc>
          <w:tcPr>
            <w:tcW w:w="990" w:type="dxa"/>
            <w:shd w:val="clear" w:color="auto" w:fill="auto"/>
            <w:noWrap/>
            <w:vAlign w:val="bottom"/>
          </w:tcPr>
          <w:p w14:paraId="07423F58"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30.5%</w:t>
            </w:r>
          </w:p>
        </w:tc>
        <w:tc>
          <w:tcPr>
            <w:tcW w:w="835" w:type="dxa"/>
            <w:shd w:val="clear" w:color="auto" w:fill="auto"/>
            <w:noWrap/>
            <w:vAlign w:val="bottom"/>
          </w:tcPr>
          <w:p w14:paraId="1384D2D0"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39%</w:t>
            </w:r>
          </w:p>
        </w:tc>
        <w:tc>
          <w:tcPr>
            <w:tcW w:w="1235" w:type="dxa"/>
            <w:shd w:val="clear" w:color="auto" w:fill="auto"/>
            <w:noWrap/>
            <w:vAlign w:val="bottom"/>
          </w:tcPr>
          <w:p w14:paraId="69982E1F" w14:textId="77777777" w:rsidR="00695A41" w:rsidRPr="00FE6794" w:rsidRDefault="00695A41" w:rsidP="00053D66">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100%</w:t>
            </w:r>
          </w:p>
        </w:tc>
        <w:tc>
          <w:tcPr>
            <w:tcW w:w="1260" w:type="dxa"/>
          </w:tcPr>
          <w:p w14:paraId="0E2E518A" w14:textId="77777777" w:rsidR="00695A41" w:rsidRPr="00FE6794" w:rsidRDefault="00695A41" w:rsidP="00053D66">
            <w:pPr>
              <w:spacing w:after="0" w:line="240" w:lineRule="auto"/>
              <w:jc w:val="right"/>
              <w:rPr>
                <w:rFonts w:ascii="Calibri" w:eastAsia="Times New Roman" w:hAnsi="Calibri" w:cs="Calibri"/>
                <w:color w:val="000000"/>
                <w:sz w:val="20"/>
                <w:szCs w:val="20"/>
              </w:rPr>
            </w:pPr>
          </w:p>
        </w:tc>
        <w:tc>
          <w:tcPr>
            <w:tcW w:w="1159" w:type="dxa"/>
          </w:tcPr>
          <w:p w14:paraId="21FAD714" w14:textId="77777777" w:rsidR="00695A41" w:rsidRPr="00FE6794" w:rsidRDefault="00695A41" w:rsidP="00053D66">
            <w:pPr>
              <w:spacing w:after="0" w:line="240" w:lineRule="auto"/>
              <w:jc w:val="right"/>
              <w:rPr>
                <w:rFonts w:ascii="Calibri" w:eastAsia="Times New Roman" w:hAnsi="Calibri" w:cs="Calibri"/>
                <w:color w:val="000000"/>
                <w:sz w:val="20"/>
                <w:szCs w:val="20"/>
              </w:rPr>
            </w:pPr>
          </w:p>
        </w:tc>
      </w:tr>
    </w:tbl>
    <w:p w14:paraId="0DC2AF02" w14:textId="77777777" w:rsidR="00695A41" w:rsidRDefault="00695A41" w:rsidP="00695A41">
      <w:pPr>
        <w:spacing w:after="0"/>
        <w:rPr>
          <w:i/>
          <w:sz w:val="18"/>
          <w:szCs w:val="20"/>
        </w:rPr>
      </w:pPr>
    </w:p>
    <w:p w14:paraId="00C08B90" w14:textId="77777777" w:rsidR="00695A41" w:rsidRDefault="00695A41" w:rsidP="00695A41">
      <w:pPr>
        <w:spacing w:after="0"/>
        <w:rPr>
          <w:i/>
          <w:sz w:val="18"/>
          <w:szCs w:val="20"/>
        </w:rPr>
      </w:pPr>
    </w:p>
    <w:p w14:paraId="75B6D0C0" w14:textId="1CA3C956" w:rsidR="00695A41" w:rsidRDefault="00695A41" w:rsidP="00695A41">
      <w:pPr>
        <w:rPr>
          <w:b/>
          <w:bCs/>
        </w:rPr>
      </w:pPr>
      <w:r w:rsidRPr="007E7B07">
        <w:rPr>
          <w:b/>
          <w:bCs/>
        </w:rPr>
        <w:t xml:space="preserve">Figure </w:t>
      </w:r>
      <w:r w:rsidR="0013709B">
        <w:rPr>
          <w:b/>
          <w:bCs/>
        </w:rPr>
        <w:t>2.2</w:t>
      </w:r>
      <w:r w:rsidRPr="007E7B07">
        <w:rPr>
          <w:b/>
          <w:bCs/>
        </w:rPr>
        <w:t>:  Eval</w:t>
      </w:r>
      <w:r>
        <w:rPr>
          <w:b/>
          <w:bCs/>
        </w:rPr>
        <w:t>u</w:t>
      </w:r>
      <w:r w:rsidRPr="007E7B07">
        <w:rPr>
          <w:b/>
          <w:bCs/>
        </w:rPr>
        <w:t xml:space="preserve">ation Plan Project List by </w:t>
      </w:r>
      <w:r>
        <w:rPr>
          <w:b/>
          <w:bCs/>
        </w:rPr>
        <w:t>Evaluation Type</w:t>
      </w:r>
    </w:p>
    <w:tbl>
      <w:tblPr>
        <w:tblW w:w="6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0"/>
        <w:gridCol w:w="1170"/>
        <w:gridCol w:w="1180"/>
        <w:gridCol w:w="960"/>
      </w:tblGrid>
      <w:tr w:rsidR="00695A41" w:rsidRPr="007E7B07" w14:paraId="16E77437" w14:textId="77777777" w:rsidTr="00123EF8">
        <w:trPr>
          <w:trHeight w:val="370"/>
          <w:tblHeader/>
        </w:trPr>
        <w:tc>
          <w:tcPr>
            <w:tcW w:w="2690" w:type="dxa"/>
            <w:shd w:val="clear" w:color="auto" w:fill="D9E2F3" w:themeFill="accent5" w:themeFillTint="33"/>
            <w:noWrap/>
            <w:vAlign w:val="bottom"/>
          </w:tcPr>
          <w:p w14:paraId="017353DC" w14:textId="77777777" w:rsidR="00695A41" w:rsidRPr="007E7B07" w:rsidRDefault="00695A41" w:rsidP="00053D66">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Evaluation Type</w:t>
            </w:r>
          </w:p>
        </w:tc>
        <w:tc>
          <w:tcPr>
            <w:tcW w:w="1170" w:type="dxa"/>
            <w:shd w:val="clear" w:color="auto" w:fill="D9E2F3" w:themeFill="accent5" w:themeFillTint="33"/>
            <w:vAlign w:val="bottom"/>
          </w:tcPr>
          <w:p w14:paraId="4064D28C" w14:textId="77777777" w:rsidR="00695A41" w:rsidRPr="007E7B07" w:rsidRDefault="00695A41" w:rsidP="00053D66">
            <w:pPr>
              <w:spacing w:after="0" w:line="240" w:lineRule="auto"/>
              <w:jc w:val="right"/>
              <w:rPr>
                <w:rFonts w:ascii="Calibri" w:eastAsia="Times New Roman" w:hAnsi="Calibri" w:cs="Calibri"/>
                <w:i/>
                <w:iCs/>
                <w:color w:val="000000"/>
                <w:sz w:val="20"/>
                <w:szCs w:val="20"/>
              </w:rPr>
            </w:pPr>
            <w:r>
              <w:rPr>
                <w:rFonts w:ascii="Calibri" w:eastAsia="Times New Roman" w:hAnsi="Calibri" w:cs="Calibri"/>
                <w:i/>
                <w:iCs/>
                <w:color w:val="000000"/>
                <w:sz w:val="20"/>
                <w:szCs w:val="20"/>
              </w:rPr>
              <w:t># of Studies</w:t>
            </w:r>
          </w:p>
        </w:tc>
        <w:tc>
          <w:tcPr>
            <w:tcW w:w="1180" w:type="dxa"/>
            <w:shd w:val="clear" w:color="auto" w:fill="D9E2F3" w:themeFill="accent5" w:themeFillTint="33"/>
            <w:noWrap/>
            <w:vAlign w:val="bottom"/>
          </w:tcPr>
          <w:p w14:paraId="76EE2477" w14:textId="77777777" w:rsidR="00695A41" w:rsidRPr="007E7B07" w:rsidRDefault="00695A41" w:rsidP="00053D66">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Budget</w:t>
            </w:r>
          </w:p>
        </w:tc>
        <w:tc>
          <w:tcPr>
            <w:tcW w:w="960" w:type="dxa"/>
            <w:shd w:val="clear" w:color="auto" w:fill="D9E2F3" w:themeFill="accent5" w:themeFillTint="33"/>
            <w:noWrap/>
            <w:vAlign w:val="bottom"/>
          </w:tcPr>
          <w:p w14:paraId="28F9EC35" w14:textId="77777777" w:rsidR="00695A41" w:rsidRPr="007E7B07" w:rsidRDefault="00695A41" w:rsidP="00053D66">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Share of Budget</w:t>
            </w:r>
          </w:p>
        </w:tc>
      </w:tr>
      <w:tr w:rsidR="00695A41" w:rsidRPr="007E7B07" w14:paraId="3E8FC9CD" w14:textId="77777777" w:rsidTr="00053D66">
        <w:tc>
          <w:tcPr>
            <w:tcW w:w="2690" w:type="dxa"/>
            <w:shd w:val="clear" w:color="auto" w:fill="auto"/>
            <w:noWrap/>
            <w:vAlign w:val="bottom"/>
            <w:hideMark/>
          </w:tcPr>
          <w:p w14:paraId="486215FB" w14:textId="77777777" w:rsidR="00695A41" w:rsidRPr="007E7B07" w:rsidRDefault="00695A41" w:rsidP="00053D66">
            <w:pPr>
              <w:spacing w:after="0" w:line="240" w:lineRule="auto"/>
              <w:rPr>
                <w:rFonts w:ascii="Calibri" w:eastAsia="Times New Roman" w:hAnsi="Calibri" w:cs="Calibri"/>
                <w:color w:val="000000"/>
                <w:sz w:val="20"/>
                <w:szCs w:val="20"/>
              </w:rPr>
            </w:pPr>
            <w:r w:rsidRPr="007E7B07">
              <w:rPr>
                <w:rFonts w:ascii="Calibri" w:eastAsia="Times New Roman" w:hAnsi="Calibri" w:cs="Calibri"/>
                <w:color w:val="000000"/>
                <w:sz w:val="20"/>
                <w:szCs w:val="20"/>
              </w:rPr>
              <w:t>Baseline</w:t>
            </w:r>
          </w:p>
        </w:tc>
        <w:tc>
          <w:tcPr>
            <w:tcW w:w="1170" w:type="dxa"/>
            <w:vAlign w:val="bottom"/>
          </w:tcPr>
          <w:p w14:paraId="75F21A44" w14:textId="77777777" w:rsidR="00695A41" w:rsidRPr="007E7B07" w:rsidRDefault="00695A41" w:rsidP="00053D66">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9</w:t>
            </w:r>
          </w:p>
        </w:tc>
        <w:tc>
          <w:tcPr>
            <w:tcW w:w="1180" w:type="dxa"/>
            <w:shd w:val="clear" w:color="auto" w:fill="auto"/>
            <w:noWrap/>
            <w:vAlign w:val="bottom"/>
            <w:hideMark/>
          </w:tcPr>
          <w:p w14:paraId="63E6ABF8" w14:textId="77777777" w:rsidR="00695A41" w:rsidRPr="007E7B07" w:rsidRDefault="00695A41" w:rsidP="00053D66">
            <w:pPr>
              <w:spacing w:after="0" w:line="240" w:lineRule="auto"/>
              <w:jc w:val="right"/>
              <w:rPr>
                <w:rFonts w:ascii="Calibri" w:eastAsia="Times New Roman" w:hAnsi="Calibri" w:cs="Calibri"/>
                <w:color w:val="000000"/>
                <w:sz w:val="20"/>
                <w:szCs w:val="20"/>
              </w:rPr>
            </w:pPr>
            <w:r w:rsidRPr="007E7B07">
              <w:rPr>
                <w:rFonts w:ascii="Calibri" w:eastAsia="Times New Roman" w:hAnsi="Calibri" w:cs="Calibri"/>
                <w:color w:val="000000"/>
                <w:sz w:val="20"/>
                <w:szCs w:val="20"/>
              </w:rPr>
              <w:t>$3,460</w:t>
            </w:r>
          </w:p>
        </w:tc>
        <w:tc>
          <w:tcPr>
            <w:tcW w:w="960" w:type="dxa"/>
            <w:shd w:val="clear" w:color="auto" w:fill="auto"/>
            <w:noWrap/>
            <w:vAlign w:val="bottom"/>
            <w:hideMark/>
          </w:tcPr>
          <w:p w14:paraId="2360404F" w14:textId="77777777" w:rsidR="00695A41" w:rsidRPr="007E7B07" w:rsidRDefault="00695A41" w:rsidP="00053D66">
            <w:pPr>
              <w:spacing w:after="0" w:line="240" w:lineRule="auto"/>
              <w:jc w:val="right"/>
              <w:rPr>
                <w:rFonts w:ascii="Calibri" w:eastAsia="Times New Roman" w:hAnsi="Calibri" w:cs="Calibri"/>
                <w:color w:val="000000"/>
                <w:sz w:val="20"/>
                <w:szCs w:val="20"/>
              </w:rPr>
            </w:pPr>
            <w:r w:rsidRPr="007E7B07">
              <w:rPr>
                <w:rFonts w:ascii="Calibri" w:eastAsia="Times New Roman" w:hAnsi="Calibri" w:cs="Calibri"/>
                <w:color w:val="000000"/>
                <w:sz w:val="20"/>
                <w:szCs w:val="20"/>
              </w:rPr>
              <w:t>23%</w:t>
            </w:r>
          </w:p>
        </w:tc>
      </w:tr>
      <w:tr w:rsidR="00695A41" w:rsidRPr="007E7B07" w14:paraId="4E89DE22" w14:textId="77777777" w:rsidTr="00053D66">
        <w:tc>
          <w:tcPr>
            <w:tcW w:w="2690" w:type="dxa"/>
            <w:shd w:val="clear" w:color="auto" w:fill="auto"/>
            <w:noWrap/>
            <w:vAlign w:val="bottom"/>
            <w:hideMark/>
          </w:tcPr>
          <w:p w14:paraId="2D3D92AB" w14:textId="77777777" w:rsidR="00695A41" w:rsidRPr="007E7B07" w:rsidRDefault="00695A41" w:rsidP="00053D66">
            <w:pPr>
              <w:spacing w:after="0" w:line="240" w:lineRule="auto"/>
              <w:rPr>
                <w:rFonts w:ascii="Calibri" w:eastAsia="Times New Roman" w:hAnsi="Calibri" w:cs="Calibri"/>
                <w:color w:val="000000"/>
                <w:sz w:val="20"/>
                <w:szCs w:val="20"/>
              </w:rPr>
            </w:pPr>
            <w:r w:rsidRPr="007E7B07">
              <w:rPr>
                <w:rFonts w:ascii="Calibri" w:eastAsia="Times New Roman" w:hAnsi="Calibri" w:cs="Calibri"/>
                <w:color w:val="000000"/>
                <w:sz w:val="20"/>
                <w:szCs w:val="20"/>
              </w:rPr>
              <w:t>Impact or Impact/Process</w:t>
            </w:r>
            <w:r>
              <w:rPr>
                <w:rFonts w:ascii="Calibri" w:eastAsia="Times New Roman" w:hAnsi="Calibri" w:cs="Calibri"/>
                <w:color w:val="000000"/>
                <w:sz w:val="20"/>
                <w:szCs w:val="20"/>
              </w:rPr>
              <w:t>**</w:t>
            </w:r>
            <w:r w:rsidRPr="007E7B07">
              <w:rPr>
                <w:rFonts w:ascii="Calibri" w:eastAsia="Times New Roman" w:hAnsi="Calibri" w:cs="Calibri"/>
                <w:color w:val="000000"/>
                <w:sz w:val="20"/>
                <w:szCs w:val="20"/>
              </w:rPr>
              <w:t xml:space="preserve"> </w:t>
            </w:r>
          </w:p>
        </w:tc>
        <w:tc>
          <w:tcPr>
            <w:tcW w:w="1170" w:type="dxa"/>
            <w:vAlign w:val="bottom"/>
          </w:tcPr>
          <w:p w14:paraId="2E3071C1" w14:textId="77777777" w:rsidR="00695A41" w:rsidRPr="007E7B07" w:rsidRDefault="00695A41" w:rsidP="00053D66">
            <w:pPr>
              <w:spacing w:after="0" w:line="240" w:lineRule="auto"/>
              <w:jc w:val="center"/>
              <w:rPr>
                <w:rFonts w:ascii="Calibri" w:eastAsia="Times New Roman" w:hAnsi="Calibri" w:cs="Calibri"/>
                <w:color w:val="000000"/>
                <w:sz w:val="20"/>
                <w:szCs w:val="20"/>
              </w:rPr>
            </w:pPr>
            <w:r>
              <w:rPr>
                <w:rFonts w:ascii="Calibri" w:eastAsia="Times New Roman" w:hAnsi="Calibri" w:cs="Calibri"/>
                <w:i/>
                <w:iCs/>
                <w:color w:val="000000"/>
                <w:sz w:val="20"/>
                <w:szCs w:val="20"/>
              </w:rPr>
              <w:t>10</w:t>
            </w:r>
          </w:p>
        </w:tc>
        <w:tc>
          <w:tcPr>
            <w:tcW w:w="1180" w:type="dxa"/>
            <w:shd w:val="clear" w:color="auto" w:fill="auto"/>
            <w:noWrap/>
            <w:vAlign w:val="bottom"/>
            <w:hideMark/>
          </w:tcPr>
          <w:p w14:paraId="1388C578" w14:textId="77777777" w:rsidR="00695A41" w:rsidRPr="007E7B07" w:rsidRDefault="00695A41" w:rsidP="00053D66">
            <w:pPr>
              <w:spacing w:after="0" w:line="240" w:lineRule="auto"/>
              <w:jc w:val="right"/>
              <w:rPr>
                <w:rFonts w:ascii="Calibri" w:eastAsia="Times New Roman" w:hAnsi="Calibri" w:cs="Calibri"/>
                <w:color w:val="000000"/>
                <w:sz w:val="20"/>
                <w:szCs w:val="20"/>
              </w:rPr>
            </w:pPr>
            <w:r w:rsidRPr="007E7B07">
              <w:rPr>
                <w:rFonts w:ascii="Calibri" w:eastAsia="Times New Roman" w:hAnsi="Calibri" w:cs="Calibri"/>
                <w:color w:val="000000"/>
                <w:sz w:val="20"/>
                <w:szCs w:val="20"/>
              </w:rPr>
              <w:t>$3,850</w:t>
            </w:r>
          </w:p>
        </w:tc>
        <w:tc>
          <w:tcPr>
            <w:tcW w:w="960" w:type="dxa"/>
            <w:shd w:val="clear" w:color="auto" w:fill="auto"/>
            <w:noWrap/>
            <w:vAlign w:val="bottom"/>
            <w:hideMark/>
          </w:tcPr>
          <w:p w14:paraId="010C4398" w14:textId="77777777" w:rsidR="00695A41" w:rsidRPr="007E7B07" w:rsidRDefault="00695A41" w:rsidP="00053D66">
            <w:pPr>
              <w:spacing w:after="0" w:line="240" w:lineRule="auto"/>
              <w:jc w:val="right"/>
              <w:rPr>
                <w:rFonts w:ascii="Calibri" w:eastAsia="Times New Roman" w:hAnsi="Calibri" w:cs="Calibri"/>
                <w:color w:val="000000"/>
                <w:sz w:val="20"/>
                <w:szCs w:val="20"/>
              </w:rPr>
            </w:pPr>
            <w:r w:rsidRPr="007E7B07">
              <w:rPr>
                <w:rFonts w:ascii="Calibri" w:eastAsia="Times New Roman" w:hAnsi="Calibri" w:cs="Calibri"/>
                <w:color w:val="000000"/>
                <w:sz w:val="20"/>
                <w:szCs w:val="20"/>
              </w:rPr>
              <w:t>26%</w:t>
            </w:r>
          </w:p>
        </w:tc>
      </w:tr>
      <w:tr w:rsidR="00695A41" w:rsidRPr="007E7B07" w14:paraId="6CD92049" w14:textId="77777777" w:rsidTr="00053D66">
        <w:tc>
          <w:tcPr>
            <w:tcW w:w="2690" w:type="dxa"/>
            <w:shd w:val="clear" w:color="auto" w:fill="auto"/>
            <w:noWrap/>
            <w:vAlign w:val="bottom"/>
            <w:hideMark/>
          </w:tcPr>
          <w:p w14:paraId="1A1B95DF" w14:textId="77777777" w:rsidR="00695A41" w:rsidRPr="007E7B07" w:rsidRDefault="00695A41" w:rsidP="00053D66">
            <w:pPr>
              <w:spacing w:after="0" w:line="240" w:lineRule="auto"/>
              <w:rPr>
                <w:rFonts w:ascii="Calibri" w:eastAsia="Times New Roman" w:hAnsi="Calibri" w:cs="Calibri"/>
                <w:color w:val="000000"/>
                <w:sz w:val="20"/>
                <w:szCs w:val="20"/>
              </w:rPr>
            </w:pPr>
            <w:r w:rsidRPr="007E7B07">
              <w:rPr>
                <w:rFonts w:ascii="Calibri" w:eastAsia="Times New Roman" w:hAnsi="Calibri" w:cs="Calibri"/>
                <w:color w:val="000000"/>
                <w:sz w:val="20"/>
                <w:szCs w:val="20"/>
              </w:rPr>
              <w:t xml:space="preserve">Process </w:t>
            </w:r>
          </w:p>
        </w:tc>
        <w:tc>
          <w:tcPr>
            <w:tcW w:w="1170" w:type="dxa"/>
            <w:vAlign w:val="bottom"/>
          </w:tcPr>
          <w:p w14:paraId="2F5150F2" w14:textId="77777777" w:rsidR="00695A41" w:rsidRPr="007E7B07" w:rsidRDefault="00695A41" w:rsidP="00053D66">
            <w:pPr>
              <w:spacing w:after="0" w:line="240" w:lineRule="auto"/>
              <w:jc w:val="center"/>
              <w:rPr>
                <w:rFonts w:ascii="Calibri" w:eastAsia="Times New Roman" w:hAnsi="Calibri" w:cs="Calibri"/>
                <w:color w:val="000000"/>
                <w:sz w:val="20"/>
                <w:szCs w:val="20"/>
              </w:rPr>
            </w:pPr>
            <w:r>
              <w:rPr>
                <w:rFonts w:ascii="Calibri" w:eastAsia="Times New Roman" w:hAnsi="Calibri" w:cs="Calibri"/>
                <w:i/>
                <w:iCs/>
                <w:color w:val="000000"/>
                <w:sz w:val="20"/>
                <w:szCs w:val="20"/>
              </w:rPr>
              <w:t>5</w:t>
            </w:r>
          </w:p>
        </w:tc>
        <w:tc>
          <w:tcPr>
            <w:tcW w:w="1180" w:type="dxa"/>
            <w:shd w:val="clear" w:color="auto" w:fill="auto"/>
            <w:noWrap/>
            <w:vAlign w:val="bottom"/>
            <w:hideMark/>
          </w:tcPr>
          <w:p w14:paraId="5D9B31F3" w14:textId="77777777" w:rsidR="00695A41" w:rsidRPr="007E7B07" w:rsidRDefault="00695A41" w:rsidP="00053D66">
            <w:pPr>
              <w:spacing w:after="0" w:line="240" w:lineRule="auto"/>
              <w:jc w:val="right"/>
              <w:rPr>
                <w:rFonts w:ascii="Calibri" w:eastAsia="Times New Roman" w:hAnsi="Calibri" w:cs="Calibri"/>
                <w:color w:val="000000"/>
                <w:sz w:val="20"/>
                <w:szCs w:val="20"/>
              </w:rPr>
            </w:pPr>
            <w:r w:rsidRPr="007E7B07">
              <w:rPr>
                <w:rFonts w:ascii="Calibri" w:eastAsia="Times New Roman" w:hAnsi="Calibri" w:cs="Calibri"/>
                <w:color w:val="000000"/>
                <w:sz w:val="20"/>
                <w:szCs w:val="20"/>
              </w:rPr>
              <w:t>$1,275</w:t>
            </w:r>
          </w:p>
        </w:tc>
        <w:tc>
          <w:tcPr>
            <w:tcW w:w="960" w:type="dxa"/>
            <w:shd w:val="clear" w:color="auto" w:fill="auto"/>
            <w:noWrap/>
            <w:vAlign w:val="bottom"/>
            <w:hideMark/>
          </w:tcPr>
          <w:p w14:paraId="25D80F8B" w14:textId="77777777" w:rsidR="00695A41" w:rsidRPr="007E7B07" w:rsidRDefault="00695A41" w:rsidP="00053D66">
            <w:pPr>
              <w:spacing w:after="0" w:line="240" w:lineRule="auto"/>
              <w:jc w:val="right"/>
              <w:rPr>
                <w:rFonts w:ascii="Calibri" w:eastAsia="Times New Roman" w:hAnsi="Calibri" w:cs="Calibri"/>
                <w:color w:val="000000"/>
                <w:sz w:val="20"/>
                <w:szCs w:val="20"/>
              </w:rPr>
            </w:pPr>
            <w:r w:rsidRPr="007E7B07">
              <w:rPr>
                <w:rFonts w:ascii="Calibri" w:eastAsia="Times New Roman" w:hAnsi="Calibri" w:cs="Calibri"/>
                <w:color w:val="000000"/>
                <w:sz w:val="20"/>
                <w:szCs w:val="20"/>
              </w:rPr>
              <w:t>9%</w:t>
            </w:r>
          </w:p>
        </w:tc>
      </w:tr>
      <w:tr w:rsidR="00695A41" w:rsidRPr="007E7B07" w14:paraId="1FB75102" w14:textId="77777777" w:rsidTr="00053D66">
        <w:tc>
          <w:tcPr>
            <w:tcW w:w="2690" w:type="dxa"/>
            <w:shd w:val="clear" w:color="auto" w:fill="auto"/>
            <w:noWrap/>
            <w:vAlign w:val="bottom"/>
            <w:hideMark/>
          </w:tcPr>
          <w:p w14:paraId="60B873B9" w14:textId="77777777" w:rsidR="00695A41" w:rsidRPr="007E7B07" w:rsidRDefault="00695A41" w:rsidP="00053D66">
            <w:pPr>
              <w:spacing w:after="0" w:line="240" w:lineRule="auto"/>
              <w:rPr>
                <w:rFonts w:ascii="Calibri" w:eastAsia="Times New Roman" w:hAnsi="Calibri" w:cs="Calibri"/>
                <w:color w:val="000000"/>
                <w:sz w:val="20"/>
                <w:szCs w:val="20"/>
              </w:rPr>
            </w:pPr>
            <w:r w:rsidRPr="007E7B07">
              <w:rPr>
                <w:rFonts w:ascii="Calibri" w:eastAsia="Times New Roman" w:hAnsi="Calibri" w:cs="Calibri"/>
                <w:color w:val="000000"/>
                <w:sz w:val="20"/>
                <w:szCs w:val="20"/>
              </w:rPr>
              <w:t xml:space="preserve">PSD </w:t>
            </w:r>
          </w:p>
        </w:tc>
        <w:tc>
          <w:tcPr>
            <w:tcW w:w="1170" w:type="dxa"/>
            <w:vAlign w:val="bottom"/>
          </w:tcPr>
          <w:p w14:paraId="1F3C6CEE" w14:textId="77777777" w:rsidR="00695A41" w:rsidRPr="007E7B07" w:rsidRDefault="00695A41" w:rsidP="00053D66">
            <w:pPr>
              <w:spacing w:after="0" w:line="240" w:lineRule="auto"/>
              <w:jc w:val="center"/>
              <w:rPr>
                <w:rFonts w:ascii="Calibri" w:eastAsia="Times New Roman" w:hAnsi="Calibri" w:cs="Calibri"/>
                <w:color w:val="000000"/>
                <w:sz w:val="20"/>
                <w:szCs w:val="20"/>
              </w:rPr>
            </w:pPr>
            <w:r>
              <w:rPr>
                <w:rFonts w:ascii="Calibri" w:eastAsia="Times New Roman" w:hAnsi="Calibri" w:cs="Calibri"/>
                <w:i/>
                <w:iCs/>
                <w:color w:val="000000"/>
                <w:sz w:val="20"/>
                <w:szCs w:val="20"/>
              </w:rPr>
              <w:t>4</w:t>
            </w:r>
          </w:p>
        </w:tc>
        <w:tc>
          <w:tcPr>
            <w:tcW w:w="1180" w:type="dxa"/>
            <w:shd w:val="clear" w:color="auto" w:fill="auto"/>
            <w:noWrap/>
            <w:vAlign w:val="bottom"/>
            <w:hideMark/>
          </w:tcPr>
          <w:p w14:paraId="6C2BAF70" w14:textId="77777777" w:rsidR="00695A41" w:rsidRPr="007E7B07" w:rsidRDefault="00695A41" w:rsidP="00053D66">
            <w:pPr>
              <w:spacing w:after="0" w:line="240" w:lineRule="auto"/>
              <w:jc w:val="right"/>
              <w:rPr>
                <w:rFonts w:ascii="Calibri" w:eastAsia="Times New Roman" w:hAnsi="Calibri" w:cs="Calibri"/>
                <w:color w:val="000000"/>
                <w:sz w:val="20"/>
                <w:szCs w:val="20"/>
              </w:rPr>
            </w:pPr>
            <w:r w:rsidRPr="007E7B07">
              <w:rPr>
                <w:rFonts w:ascii="Calibri" w:eastAsia="Times New Roman" w:hAnsi="Calibri" w:cs="Calibri"/>
                <w:color w:val="000000"/>
                <w:sz w:val="20"/>
                <w:szCs w:val="20"/>
              </w:rPr>
              <w:t>$750</w:t>
            </w:r>
          </w:p>
        </w:tc>
        <w:tc>
          <w:tcPr>
            <w:tcW w:w="960" w:type="dxa"/>
            <w:shd w:val="clear" w:color="auto" w:fill="auto"/>
            <w:noWrap/>
            <w:vAlign w:val="bottom"/>
            <w:hideMark/>
          </w:tcPr>
          <w:p w14:paraId="62F658BE" w14:textId="77777777" w:rsidR="00695A41" w:rsidRPr="007E7B07" w:rsidRDefault="00695A41" w:rsidP="00053D66">
            <w:pPr>
              <w:spacing w:after="0" w:line="240" w:lineRule="auto"/>
              <w:jc w:val="right"/>
              <w:rPr>
                <w:rFonts w:ascii="Calibri" w:eastAsia="Times New Roman" w:hAnsi="Calibri" w:cs="Calibri"/>
                <w:color w:val="000000"/>
                <w:sz w:val="20"/>
                <w:szCs w:val="20"/>
              </w:rPr>
            </w:pPr>
            <w:r w:rsidRPr="007E7B07">
              <w:rPr>
                <w:rFonts w:ascii="Calibri" w:eastAsia="Times New Roman" w:hAnsi="Calibri" w:cs="Calibri"/>
                <w:color w:val="000000"/>
                <w:sz w:val="20"/>
                <w:szCs w:val="20"/>
              </w:rPr>
              <w:t>5%</w:t>
            </w:r>
          </w:p>
        </w:tc>
      </w:tr>
      <w:tr w:rsidR="00695A41" w:rsidRPr="007E7B07" w14:paraId="04FDFDEF" w14:textId="77777777" w:rsidTr="00053D66">
        <w:tc>
          <w:tcPr>
            <w:tcW w:w="2690" w:type="dxa"/>
            <w:shd w:val="clear" w:color="auto" w:fill="auto"/>
            <w:noWrap/>
            <w:vAlign w:val="bottom"/>
            <w:hideMark/>
          </w:tcPr>
          <w:p w14:paraId="56AB875A" w14:textId="77777777" w:rsidR="00695A41" w:rsidRPr="007E7B07" w:rsidRDefault="00695A41" w:rsidP="00053D66">
            <w:pPr>
              <w:spacing w:after="0" w:line="240" w:lineRule="auto"/>
              <w:rPr>
                <w:rFonts w:ascii="Calibri" w:eastAsia="Times New Roman" w:hAnsi="Calibri" w:cs="Calibri"/>
                <w:color w:val="000000"/>
                <w:sz w:val="20"/>
                <w:szCs w:val="20"/>
              </w:rPr>
            </w:pPr>
            <w:r w:rsidRPr="007E7B07">
              <w:rPr>
                <w:rFonts w:ascii="Calibri" w:eastAsia="Times New Roman" w:hAnsi="Calibri" w:cs="Calibri"/>
                <w:color w:val="000000"/>
                <w:sz w:val="20"/>
                <w:szCs w:val="20"/>
              </w:rPr>
              <w:t xml:space="preserve">Topics </w:t>
            </w:r>
          </w:p>
        </w:tc>
        <w:tc>
          <w:tcPr>
            <w:tcW w:w="1170" w:type="dxa"/>
            <w:vAlign w:val="bottom"/>
          </w:tcPr>
          <w:p w14:paraId="0D74686E" w14:textId="77777777" w:rsidR="00695A41" w:rsidRPr="007E7B07" w:rsidRDefault="00695A41" w:rsidP="00053D66">
            <w:pPr>
              <w:spacing w:after="0" w:line="240" w:lineRule="auto"/>
              <w:jc w:val="center"/>
              <w:rPr>
                <w:rFonts w:ascii="Calibri" w:eastAsia="Times New Roman" w:hAnsi="Calibri" w:cs="Calibri"/>
                <w:color w:val="000000"/>
                <w:sz w:val="20"/>
                <w:szCs w:val="20"/>
              </w:rPr>
            </w:pPr>
            <w:r>
              <w:rPr>
                <w:rFonts w:ascii="Calibri" w:eastAsia="Times New Roman" w:hAnsi="Calibri" w:cs="Calibri"/>
                <w:i/>
                <w:iCs/>
                <w:color w:val="000000"/>
                <w:sz w:val="20"/>
                <w:szCs w:val="20"/>
              </w:rPr>
              <w:t>17</w:t>
            </w:r>
          </w:p>
        </w:tc>
        <w:tc>
          <w:tcPr>
            <w:tcW w:w="1180" w:type="dxa"/>
            <w:shd w:val="clear" w:color="auto" w:fill="auto"/>
            <w:noWrap/>
            <w:vAlign w:val="bottom"/>
            <w:hideMark/>
          </w:tcPr>
          <w:p w14:paraId="45D70A8B" w14:textId="77777777" w:rsidR="00695A41" w:rsidRPr="007E7B07" w:rsidRDefault="00695A41" w:rsidP="00053D66">
            <w:pPr>
              <w:spacing w:after="0" w:line="240" w:lineRule="auto"/>
              <w:jc w:val="right"/>
              <w:rPr>
                <w:rFonts w:ascii="Calibri" w:eastAsia="Times New Roman" w:hAnsi="Calibri" w:cs="Calibri"/>
                <w:color w:val="000000"/>
                <w:sz w:val="20"/>
                <w:szCs w:val="20"/>
              </w:rPr>
            </w:pPr>
            <w:r w:rsidRPr="007E7B07">
              <w:rPr>
                <w:rFonts w:ascii="Calibri" w:eastAsia="Times New Roman" w:hAnsi="Calibri" w:cs="Calibri"/>
                <w:color w:val="000000"/>
                <w:sz w:val="20"/>
                <w:szCs w:val="20"/>
              </w:rPr>
              <w:t>$5,440</w:t>
            </w:r>
          </w:p>
        </w:tc>
        <w:tc>
          <w:tcPr>
            <w:tcW w:w="960" w:type="dxa"/>
            <w:shd w:val="clear" w:color="auto" w:fill="auto"/>
            <w:noWrap/>
            <w:vAlign w:val="bottom"/>
            <w:hideMark/>
          </w:tcPr>
          <w:p w14:paraId="65BC5461" w14:textId="77777777" w:rsidR="00695A41" w:rsidRPr="007E7B07" w:rsidRDefault="00695A41" w:rsidP="00053D66">
            <w:pPr>
              <w:spacing w:after="0" w:line="240" w:lineRule="auto"/>
              <w:jc w:val="right"/>
              <w:rPr>
                <w:rFonts w:ascii="Calibri" w:eastAsia="Times New Roman" w:hAnsi="Calibri" w:cs="Calibri"/>
                <w:color w:val="000000"/>
                <w:sz w:val="20"/>
                <w:szCs w:val="20"/>
              </w:rPr>
            </w:pPr>
            <w:r w:rsidRPr="007E7B07">
              <w:rPr>
                <w:rFonts w:ascii="Calibri" w:eastAsia="Times New Roman" w:hAnsi="Calibri" w:cs="Calibri"/>
                <w:color w:val="000000"/>
                <w:sz w:val="20"/>
                <w:szCs w:val="20"/>
              </w:rPr>
              <w:t>37%</w:t>
            </w:r>
          </w:p>
        </w:tc>
      </w:tr>
      <w:tr w:rsidR="00695A41" w:rsidRPr="007E7B07" w14:paraId="578B48FC" w14:textId="77777777" w:rsidTr="00053D66">
        <w:trPr>
          <w:trHeight w:val="270"/>
        </w:trPr>
        <w:tc>
          <w:tcPr>
            <w:tcW w:w="2690" w:type="dxa"/>
            <w:shd w:val="clear" w:color="auto" w:fill="auto"/>
            <w:noWrap/>
            <w:vAlign w:val="bottom"/>
          </w:tcPr>
          <w:p w14:paraId="1F03747F" w14:textId="77777777" w:rsidR="00695A41" w:rsidRPr="007E7B07" w:rsidRDefault="00695A41" w:rsidP="00053D66">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Total</w:t>
            </w:r>
          </w:p>
        </w:tc>
        <w:tc>
          <w:tcPr>
            <w:tcW w:w="1170" w:type="dxa"/>
          </w:tcPr>
          <w:p w14:paraId="6298E83A" w14:textId="77777777" w:rsidR="00695A41" w:rsidRPr="007E7B07" w:rsidRDefault="00695A41" w:rsidP="00053D66">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45</w:t>
            </w:r>
          </w:p>
        </w:tc>
        <w:tc>
          <w:tcPr>
            <w:tcW w:w="1180" w:type="dxa"/>
            <w:shd w:val="clear" w:color="auto" w:fill="auto"/>
            <w:noWrap/>
            <w:vAlign w:val="bottom"/>
          </w:tcPr>
          <w:p w14:paraId="1F11ECD6" w14:textId="77777777" w:rsidR="00695A41" w:rsidRPr="007E7B07" w:rsidRDefault="00695A41" w:rsidP="00053D66">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$14,775</w:t>
            </w:r>
          </w:p>
        </w:tc>
        <w:tc>
          <w:tcPr>
            <w:tcW w:w="960" w:type="dxa"/>
            <w:shd w:val="clear" w:color="auto" w:fill="auto"/>
            <w:noWrap/>
            <w:vAlign w:val="bottom"/>
          </w:tcPr>
          <w:p w14:paraId="0DB79993" w14:textId="77777777" w:rsidR="00695A41" w:rsidRPr="007E7B07" w:rsidRDefault="00695A41" w:rsidP="00053D66">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100%</w:t>
            </w:r>
          </w:p>
        </w:tc>
      </w:tr>
    </w:tbl>
    <w:p w14:paraId="157BC850" w14:textId="77777777" w:rsidR="00695A41" w:rsidRDefault="00695A41" w:rsidP="00695A41">
      <w:pPr>
        <w:spacing w:after="0" w:line="240" w:lineRule="auto"/>
        <w:rPr>
          <w:rFonts w:ascii="Calibri" w:eastAsia="Times New Roman" w:hAnsi="Calibri" w:cs="Calibri"/>
          <w:i/>
          <w:iCs/>
          <w:color w:val="000000"/>
          <w:sz w:val="18"/>
          <w:szCs w:val="18"/>
        </w:rPr>
      </w:pPr>
      <w:r w:rsidRPr="0061011F">
        <w:rPr>
          <w:rFonts w:ascii="Calibri" w:eastAsia="Times New Roman" w:hAnsi="Calibri" w:cs="Calibri"/>
          <w:i/>
          <w:iCs/>
          <w:color w:val="000000"/>
          <w:sz w:val="18"/>
          <w:szCs w:val="18"/>
        </w:rPr>
        <w:t xml:space="preserve">(**) Table Note: </w:t>
      </w:r>
      <w:r w:rsidRPr="007E7B07">
        <w:rPr>
          <w:rFonts w:ascii="Calibri" w:eastAsia="Times New Roman" w:hAnsi="Calibri" w:cs="Calibri"/>
          <w:i/>
          <w:iCs/>
          <w:color w:val="000000"/>
          <w:sz w:val="18"/>
          <w:szCs w:val="18"/>
        </w:rPr>
        <w:t>$5.025*</w:t>
      </w:r>
      <w:r w:rsidRPr="0061011F">
        <w:rPr>
          <w:rFonts w:ascii="Calibri" w:eastAsia="Times New Roman" w:hAnsi="Calibri" w:cs="Calibri"/>
          <w:i/>
          <w:iCs/>
          <w:color w:val="000000"/>
          <w:sz w:val="18"/>
          <w:szCs w:val="18"/>
        </w:rPr>
        <w:t xml:space="preserve"> is the budget </w:t>
      </w:r>
      <w:r>
        <w:rPr>
          <w:rFonts w:ascii="Calibri" w:eastAsia="Times New Roman" w:hAnsi="Calibri" w:cs="Calibri"/>
          <w:i/>
          <w:iCs/>
          <w:color w:val="000000"/>
          <w:sz w:val="18"/>
          <w:szCs w:val="18"/>
        </w:rPr>
        <w:t xml:space="preserve">for impact if we </w:t>
      </w:r>
      <w:r w:rsidRPr="0061011F">
        <w:rPr>
          <w:rFonts w:ascii="Calibri" w:eastAsia="Times New Roman" w:hAnsi="Calibri" w:cs="Calibri"/>
          <w:i/>
          <w:iCs/>
          <w:color w:val="000000"/>
          <w:sz w:val="18"/>
          <w:szCs w:val="18"/>
        </w:rPr>
        <w:t>includ</w:t>
      </w:r>
      <w:r>
        <w:rPr>
          <w:rFonts w:ascii="Calibri" w:eastAsia="Times New Roman" w:hAnsi="Calibri" w:cs="Calibri"/>
          <w:i/>
          <w:iCs/>
          <w:color w:val="000000"/>
          <w:sz w:val="18"/>
          <w:szCs w:val="18"/>
        </w:rPr>
        <w:t>e</w:t>
      </w:r>
      <w:r w:rsidRPr="0061011F">
        <w:rPr>
          <w:rFonts w:ascii="Calibri" w:eastAsia="Times New Roman" w:hAnsi="Calibri" w:cs="Calibri"/>
          <w:i/>
          <w:iCs/>
          <w:color w:val="000000"/>
          <w:sz w:val="18"/>
          <w:szCs w:val="18"/>
        </w:rPr>
        <w:t xml:space="preserve"> the 2</w:t>
      </w:r>
      <w:r w:rsidRPr="0061011F">
        <w:rPr>
          <w:rFonts w:ascii="Calibri" w:eastAsia="Times New Roman" w:hAnsi="Calibri" w:cs="Calibri"/>
          <w:i/>
          <w:iCs/>
          <w:color w:val="000000"/>
          <w:sz w:val="18"/>
          <w:szCs w:val="18"/>
          <w:vertAlign w:val="superscript"/>
        </w:rPr>
        <w:t>nd</w:t>
      </w:r>
      <w:r w:rsidRPr="0061011F">
        <w:rPr>
          <w:rFonts w:ascii="Calibri" w:eastAsia="Times New Roman" w:hAnsi="Calibri" w:cs="Calibri"/>
          <w:i/>
          <w:iCs/>
          <w:color w:val="000000"/>
          <w:sz w:val="18"/>
          <w:szCs w:val="18"/>
        </w:rPr>
        <w:t xml:space="preserve"> half of two large C&amp;I impact</w:t>
      </w:r>
    </w:p>
    <w:p w14:paraId="48C05398" w14:textId="520276D9" w:rsidR="00695A41" w:rsidRDefault="00695A41" w:rsidP="00695A41">
      <w:pPr>
        <w:spacing w:after="0" w:line="240" w:lineRule="auto"/>
        <w:rPr>
          <w:rFonts w:ascii="Calibri" w:eastAsia="Times New Roman" w:hAnsi="Calibri" w:cs="Calibri"/>
          <w:i/>
          <w:iCs/>
          <w:color w:val="000000"/>
          <w:sz w:val="18"/>
          <w:szCs w:val="18"/>
        </w:rPr>
      </w:pPr>
      <w:r w:rsidRPr="0061011F">
        <w:rPr>
          <w:rFonts w:ascii="Calibri" w:eastAsia="Times New Roman" w:hAnsi="Calibri" w:cs="Calibri"/>
          <w:i/>
          <w:iCs/>
          <w:color w:val="000000"/>
          <w:sz w:val="18"/>
          <w:szCs w:val="18"/>
        </w:rPr>
        <w:t xml:space="preserve"> studies, which carry over to 2025, per FCM timing needs</w:t>
      </w:r>
      <w:r w:rsidRPr="007E7B07">
        <w:rPr>
          <w:rFonts w:ascii="Calibri" w:eastAsia="Times New Roman" w:hAnsi="Calibri" w:cs="Calibri"/>
          <w:i/>
          <w:iCs/>
          <w:color w:val="000000"/>
          <w:sz w:val="18"/>
          <w:szCs w:val="18"/>
        </w:rPr>
        <w:t>)</w:t>
      </w:r>
      <w:r>
        <w:rPr>
          <w:rFonts w:ascii="Calibri" w:eastAsia="Times New Roman" w:hAnsi="Calibri" w:cs="Calibri"/>
          <w:i/>
          <w:iCs/>
          <w:color w:val="000000"/>
          <w:sz w:val="18"/>
          <w:szCs w:val="18"/>
        </w:rPr>
        <w:t>. That budget is not in this plan.</w:t>
      </w:r>
    </w:p>
    <w:p w14:paraId="43964B0F" w14:textId="77777777" w:rsidR="0013709B" w:rsidRPr="0061011F" w:rsidRDefault="0013709B" w:rsidP="00695A41">
      <w:pPr>
        <w:spacing w:after="0" w:line="240" w:lineRule="auto"/>
        <w:rPr>
          <w:b/>
          <w:bCs/>
          <w:i/>
          <w:iCs/>
          <w:sz w:val="20"/>
          <w:szCs w:val="20"/>
        </w:rPr>
      </w:pPr>
    </w:p>
    <w:p w14:paraId="7D453EDD" w14:textId="77777777" w:rsidR="00695A41" w:rsidRDefault="00695A41" w:rsidP="00B33D80">
      <w:pPr>
        <w:spacing w:after="0"/>
      </w:pPr>
    </w:p>
    <w:p w14:paraId="4C853FD6" w14:textId="512914A6" w:rsidR="0019178F" w:rsidRPr="0013709B" w:rsidRDefault="0019178F" w:rsidP="0013709B">
      <w:pPr>
        <w:pStyle w:val="Heading1"/>
        <w:numPr>
          <w:ilvl w:val="0"/>
          <w:numId w:val="17"/>
        </w:numPr>
        <w:spacing w:before="0"/>
        <w:rPr>
          <w:b/>
          <w:bCs/>
        </w:rPr>
      </w:pPr>
      <w:bookmarkStart w:id="8" w:name="_Toc90618553"/>
      <w:r w:rsidRPr="0013709B">
        <w:rPr>
          <w:b/>
          <w:bCs/>
        </w:rPr>
        <w:t xml:space="preserve">Recommended </w:t>
      </w:r>
      <w:r w:rsidR="0013709B">
        <w:rPr>
          <w:b/>
          <w:bCs/>
        </w:rPr>
        <w:t xml:space="preserve">Studies </w:t>
      </w:r>
      <w:r w:rsidRPr="0013709B">
        <w:rPr>
          <w:b/>
          <w:bCs/>
        </w:rPr>
        <w:t xml:space="preserve">for the </w:t>
      </w:r>
      <w:r w:rsidR="00C8178A" w:rsidRPr="0013709B">
        <w:rPr>
          <w:b/>
          <w:bCs/>
        </w:rPr>
        <w:t>Three-Year</w:t>
      </w:r>
      <w:r w:rsidR="005B3792" w:rsidRPr="0013709B">
        <w:rPr>
          <w:b/>
          <w:bCs/>
        </w:rPr>
        <w:t xml:space="preserve"> Evaluation P</w:t>
      </w:r>
      <w:r w:rsidRPr="0013709B">
        <w:rPr>
          <w:b/>
          <w:bCs/>
        </w:rPr>
        <w:t>lan</w:t>
      </w:r>
      <w:bookmarkEnd w:id="8"/>
      <w:r w:rsidRPr="0013709B">
        <w:rPr>
          <w:b/>
          <w:bCs/>
        </w:rPr>
        <w:t xml:space="preserve"> </w:t>
      </w:r>
    </w:p>
    <w:p w14:paraId="2EEED494" w14:textId="77777777" w:rsidR="0019178F" w:rsidRDefault="0019178F" w:rsidP="00B33D80">
      <w:pPr>
        <w:spacing w:after="0"/>
        <w:rPr>
          <w:b/>
        </w:rPr>
      </w:pPr>
    </w:p>
    <w:p w14:paraId="6A5D37F5" w14:textId="6186703F" w:rsidR="009E7CEF" w:rsidRDefault="00D2758D" w:rsidP="00B930AC">
      <w:pPr>
        <w:spacing w:after="0"/>
      </w:pPr>
      <w:r>
        <w:t xml:space="preserve">A summarized list of recommended projects (sectors, numbers, and titles) </w:t>
      </w:r>
      <w:r w:rsidR="00695A41">
        <w:t xml:space="preserve">is </w:t>
      </w:r>
      <w:r>
        <w:t xml:space="preserve">shown below.  </w:t>
      </w:r>
      <w:r w:rsidR="00B930AC">
        <w:t xml:space="preserve">The </w:t>
      </w:r>
      <w:r w:rsidR="008A3769">
        <w:t xml:space="preserve">recommendations are designed to obtain greatest value from the projects and the allocated budget.  The </w:t>
      </w:r>
      <w:r w:rsidR="005B3792">
        <w:t xml:space="preserve">recommended </w:t>
      </w:r>
      <w:r w:rsidR="008A3769">
        <w:t>project list</w:t>
      </w:r>
      <w:r w:rsidR="00563A73">
        <w:t xml:space="preserve">, including commercial, cross-sector, and residential sectors, are </w:t>
      </w:r>
      <w:r w:rsidR="00B930AC">
        <w:t xml:space="preserve">provided in </w:t>
      </w:r>
      <w:r w:rsidR="00B930AC" w:rsidRPr="00105B2E">
        <w:t xml:space="preserve">Figure </w:t>
      </w:r>
      <w:r w:rsidR="00105B2E" w:rsidRPr="00105B2E">
        <w:t>3.1</w:t>
      </w:r>
      <w:r w:rsidR="00105B2E">
        <w:t xml:space="preserve"> </w:t>
      </w:r>
      <w:r w:rsidR="00B930AC">
        <w:t>below</w:t>
      </w:r>
      <w:r w:rsidR="00563A73">
        <w:t xml:space="preserve">.  </w:t>
      </w:r>
      <w:r w:rsidR="00123EF8">
        <w:t xml:space="preserve"> Descriptions of the projects are included in Section 4.</w:t>
      </w:r>
    </w:p>
    <w:p w14:paraId="1EB44F91" w14:textId="1DE71391" w:rsidR="00773EA2" w:rsidRDefault="00773EA2"/>
    <w:p w14:paraId="46F13796" w14:textId="77777777" w:rsidR="00695A41" w:rsidRDefault="00695A41">
      <w:pPr>
        <w:rPr>
          <w:b/>
        </w:rPr>
      </w:pPr>
      <w:r>
        <w:rPr>
          <w:b/>
        </w:rPr>
        <w:br w:type="page"/>
      </w:r>
    </w:p>
    <w:p w14:paraId="065D3277" w14:textId="0C6386E8" w:rsidR="00773EA2" w:rsidRDefault="00773EA2" w:rsidP="008A3769">
      <w:pPr>
        <w:spacing w:after="0"/>
        <w:rPr>
          <w:b/>
        </w:rPr>
      </w:pPr>
      <w:r w:rsidRPr="00CD0BA7">
        <w:rPr>
          <w:b/>
        </w:rPr>
        <w:t xml:space="preserve">Figure </w:t>
      </w:r>
      <w:r w:rsidR="007731F4">
        <w:rPr>
          <w:b/>
        </w:rPr>
        <w:t>3</w:t>
      </w:r>
      <w:r w:rsidR="00105B2E">
        <w:rPr>
          <w:b/>
        </w:rPr>
        <w:t>.1</w:t>
      </w:r>
      <w:r w:rsidRPr="00CD0BA7">
        <w:rPr>
          <w:b/>
        </w:rPr>
        <w:t xml:space="preserve">:  </w:t>
      </w:r>
      <w:r w:rsidR="00F13AE6">
        <w:rPr>
          <w:b/>
        </w:rPr>
        <w:t xml:space="preserve">Recommended </w:t>
      </w:r>
      <w:r w:rsidRPr="00CD0BA7">
        <w:rPr>
          <w:b/>
        </w:rPr>
        <w:t>Project List –</w:t>
      </w:r>
      <w:r w:rsidR="0085525D">
        <w:rPr>
          <w:b/>
        </w:rPr>
        <w:t>Projects</w:t>
      </w:r>
      <w:r w:rsidR="00B930AC">
        <w:rPr>
          <w:b/>
        </w:rPr>
        <w:t>, Outcomes, and Budgets</w:t>
      </w:r>
      <w:r w:rsidRPr="00CD0BA7">
        <w:rPr>
          <w:b/>
        </w:rPr>
        <w:t xml:space="preserve"> </w:t>
      </w:r>
    </w:p>
    <w:p w14:paraId="5B5394D0" w14:textId="3F153A3F" w:rsidR="007547EB" w:rsidRDefault="00F13AE6" w:rsidP="008A3769">
      <w:pPr>
        <w:spacing w:after="0"/>
        <w:rPr>
          <w:i/>
          <w:sz w:val="20"/>
        </w:rPr>
      </w:pPr>
      <w:bookmarkStart w:id="9" w:name="_Hlk531091738"/>
      <w:r>
        <w:rPr>
          <w:i/>
          <w:sz w:val="20"/>
        </w:rPr>
        <w:t xml:space="preserve"> (X-Cross-sector; C=Commercial; R=Residential)</w:t>
      </w:r>
      <w:bookmarkEnd w:id="9"/>
    </w:p>
    <w:p w14:paraId="2C68510A" w14:textId="65C6EF06" w:rsidR="00CA1BB6" w:rsidRDefault="00CA1BB6" w:rsidP="008A3769">
      <w:pPr>
        <w:spacing w:after="0"/>
        <w:rPr>
          <w:i/>
          <w:sz w:val="20"/>
        </w:rPr>
      </w:pPr>
      <w:r w:rsidRPr="00CA1BB6">
        <w:rPr>
          <w:noProof/>
        </w:rPr>
        <w:drawing>
          <wp:inline distT="0" distB="0" distL="0" distR="0" wp14:anchorId="6BAF7154" wp14:editId="7F0DC963">
            <wp:extent cx="6492240" cy="663511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92240" cy="6635115"/>
                    </a:xfrm>
                    <a:prstGeom prst="rect">
                      <a:avLst/>
                    </a:prstGeom>
                    <a:noFill/>
                    <a:ln>
                      <a:noFill/>
                    </a:ln>
                  </pic:spPr>
                </pic:pic>
              </a:graphicData>
            </a:graphic>
          </wp:inline>
        </w:drawing>
      </w:r>
    </w:p>
    <w:p w14:paraId="0576674E" w14:textId="665AB812" w:rsidR="00CA1BB6" w:rsidRDefault="00CA1BB6">
      <w:pPr>
        <w:rPr>
          <w:i/>
          <w:sz w:val="20"/>
        </w:rPr>
      </w:pPr>
      <w:r>
        <w:rPr>
          <w:i/>
          <w:sz w:val="20"/>
        </w:rPr>
        <w:br w:type="page"/>
      </w:r>
    </w:p>
    <w:p w14:paraId="41547B62" w14:textId="77777777" w:rsidR="0060253C" w:rsidRDefault="0060253C" w:rsidP="008A3769">
      <w:pPr>
        <w:spacing w:after="0"/>
        <w:rPr>
          <w:i/>
          <w:sz w:val="20"/>
        </w:rPr>
      </w:pPr>
    </w:p>
    <w:p w14:paraId="754EBC36" w14:textId="1ADB8447" w:rsidR="0060253C" w:rsidRPr="00AC6496" w:rsidRDefault="0060253C" w:rsidP="0013709B">
      <w:pPr>
        <w:pStyle w:val="Heading1"/>
        <w:numPr>
          <w:ilvl w:val="0"/>
          <w:numId w:val="17"/>
        </w:numPr>
        <w:rPr>
          <w:b/>
          <w:bCs/>
        </w:rPr>
      </w:pPr>
      <w:bookmarkStart w:id="10" w:name="_Toc90010648"/>
      <w:bookmarkStart w:id="11" w:name="_Toc90618554"/>
      <w:r w:rsidRPr="00AC6496">
        <w:rPr>
          <w:b/>
          <w:bCs/>
        </w:rPr>
        <w:t>Study Descriptions</w:t>
      </w:r>
      <w:bookmarkEnd w:id="10"/>
      <w:bookmarkEnd w:id="11"/>
    </w:p>
    <w:p w14:paraId="3A8E6B64" w14:textId="77777777" w:rsidR="0013709B" w:rsidRDefault="0013709B" w:rsidP="0013709B">
      <w:pPr>
        <w:spacing w:after="0"/>
        <w:rPr>
          <w:i/>
          <w:sz w:val="20"/>
        </w:rPr>
      </w:pPr>
    </w:p>
    <w:p w14:paraId="3536A044" w14:textId="579A7E9A" w:rsidR="0013709B" w:rsidRPr="0013709B" w:rsidRDefault="0013709B" w:rsidP="0013709B">
      <w:pPr>
        <w:spacing w:after="0"/>
        <w:rPr>
          <w:iCs/>
          <w:szCs w:val="24"/>
        </w:rPr>
      </w:pPr>
      <w:r w:rsidRPr="0013709B">
        <w:rPr>
          <w:iCs/>
          <w:szCs w:val="24"/>
        </w:rPr>
        <w:t xml:space="preserve">The following section </w:t>
      </w:r>
      <w:r w:rsidR="00AF5783" w:rsidRPr="0013709B">
        <w:rPr>
          <w:iCs/>
          <w:szCs w:val="24"/>
        </w:rPr>
        <w:t>provides</w:t>
      </w:r>
      <w:r w:rsidRPr="0013709B">
        <w:rPr>
          <w:iCs/>
          <w:szCs w:val="24"/>
        </w:rPr>
        <w:t xml:space="preserve"> brief </w:t>
      </w:r>
      <w:r w:rsidR="00AF5783" w:rsidRPr="0013709B">
        <w:rPr>
          <w:iCs/>
          <w:szCs w:val="24"/>
        </w:rPr>
        <w:t>descriptions</w:t>
      </w:r>
      <w:r w:rsidRPr="0013709B">
        <w:rPr>
          <w:iCs/>
          <w:szCs w:val="24"/>
        </w:rPr>
        <w:t xml:space="preserve"> of the projects recommended for the Three-Year Plan.  </w:t>
      </w:r>
    </w:p>
    <w:p w14:paraId="68976218" w14:textId="77777777" w:rsidR="0060253C" w:rsidRDefault="0060253C" w:rsidP="0060253C">
      <w:pPr>
        <w:rPr>
          <w:b/>
          <w:bCs/>
        </w:rPr>
      </w:pPr>
    </w:p>
    <w:p w14:paraId="129B23F0" w14:textId="77777777" w:rsidR="0060253C" w:rsidRDefault="0060253C" w:rsidP="0060253C">
      <w:pPr>
        <w:pStyle w:val="Heading2"/>
      </w:pPr>
      <w:bookmarkStart w:id="12" w:name="_Toc90010649"/>
      <w:bookmarkStart w:id="13" w:name="_Toc90618555"/>
      <w:r>
        <w:t>4.1 Baseline Studies (2201-2209)</w:t>
      </w:r>
      <w:bookmarkEnd w:id="12"/>
      <w:bookmarkEnd w:id="13"/>
    </w:p>
    <w:p w14:paraId="64BE7345" w14:textId="77777777" w:rsidR="0060253C" w:rsidRPr="00AC6496" w:rsidRDefault="0060253C" w:rsidP="0060253C"/>
    <w:p w14:paraId="79590A09" w14:textId="77777777" w:rsidR="0060253C" w:rsidRPr="00404DB1" w:rsidRDefault="0060253C" w:rsidP="0060253C">
      <w:pPr>
        <w:rPr>
          <w:b/>
          <w:bCs/>
        </w:rPr>
      </w:pPr>
      <w:r w:rsidRPr="00404DB1">
        <w:rPr>
          <w:b/>
          <w:bCs/>
        </w:rPr>
        <w:t>C2201</w:t>
      </w:r>
      <w:r w:rsidRPr="00404DB1">
        <w:rPr>
          <w:b/>
          <w:bCs/>
        </w:rPr>
        <w:tab/>
        <w:t>PJ</w:t>
      </w:r>
      <w:r w:rsidRPr="00404DB1">
        <w:rPr>
          <w:b/>
          <w:bCs/>
        </w:rPr>
        <w:tab/>
        <w:t>Baseline</w:t>
      </w:r>
      <w:r w:rsidRPr="00404DB1">
        <w:rPr>
          <w:b/>
          <w:bCs/>
        </w:rPr>
        <w:tab/>
        <w:t>C&amp;I baseline large sample</w:t>
      </w:r>
      <w:r w:rsidRPr="00404DB1">
        <w:rPr>
          <w:b/>
          <w:bCs/>
        </w:rPr>
        <w:tab/>
      </w:r>
    </w:p>
    <w:p w14:paraId="67E2F1A7" w14:textId="77777777" w:rsidR="0060253C" w:rsidRDefault="0060253C" w:rsidP="0060253C">
      <w:r>
        <w:t>Outputs: Building characteristics by building type; HVAC system types by building type; fuel type by building type</w:t>
      </w:r>
      <w:r>
        <w:tab/>
      </w:r>
    </w:p>
    <w:p w14:paraId="085D9393" w14:textId="77777777" w:rsidR="0060253C" w:rsidRDefault="0060253C" w:rsidP="0060253C">
      <w:r>
        <w:t>Description: Large sample of C&amp;I customers to establish building characteristics needed to update building simulation models.  Sample will need to be designed at the building type level to cover all the building types in the PSD.  Study will include customer surveys and a subset of onsite surveys.  Incorporates the requested examination of saturation of wifi thermostats and cooling options.  The level of disaggregation by building type will be limited by sampling / budget.</w:t>
      </w:r>
      <w:r>
        <w:tab/>
      </w:r>
    </w:p>
    <w:p w14:paraId="08F32434" w14:textId="77777777" w:rsidR="0060253C" w:rsidRDefault="0060253C" w:rsidP="0060253C">
      <w:r>
        <w:t>Budget and Start Year: $925</w:t>
      </w:r>
      <w:r>
        <w:tab/>
        <w:t>2022</w:t>
      </w:r>
    </w:p>
    <w:p w14:paraId="72C0A266" w14:textId="77777777" w:rsidR="0060253C" w:rsidRDefault="0060253C" w:rsidP="0060253C"/>
    <w:p w14:paraId="63231625" w14:textId="77777777" w:rsidR="0060253C" w:rsidRPr="00404DB1" w:rsidRDefault="0060253C" w:rsidP="0060253C">
      <w:pPr>
        <w:rPr>
          <w:b/>
          <w:bCs/>
        </w:rPr>
      </w:pPr>
      <w:r w:rsidRPr="00404DB1">
        <w:rPr>
          <w:b/>
          <w:bCs/>
        </w:rPr>
        <w:t>R2202</w:t>
      </w:r>
      <w:r w:rsidRPr="00404DB1">
        <w:rPr>
          <w:b/>
          <w:bCs/>
        </w:rPr>
        <w:tab/>
        <w:t>LAS</w:t>
      </w:r>
      <w:r w:rsidRPr="00404DB1">
        <w:rPr>
          <w:b/>
          <w:bCs/>
        </w:rPr>
        <w:tab/>
        <w:t>Baseline</w:t>
      </w:r>
      <w:r w:rsidRPr="00404DB1">
        <w:rPr>
          <w:b/>
          <w:bCs/>
        </w:rPr>
        <w:tab/>
        <w:t>Residential Appliance Saturation Survey &amp; Baseline</w:t>
      </w:r>
      <w:r w:rsidRPr="00404DB1">
        <w:rPr>
          <w:b/>
          <w:bCs/>
        </w:rPr>
        <w:tab/>
      </w:r>
    </w:p>
    <w:p w14:paraId="54156348" w14:textId="77777777" w:rsidR="0060253C" w:rsidRDefault="0060253C" w:rsidP="0060253C">
      <w:r>
        <w:t>Outputs: Conduct updated RASS study addressing housing stock (and shell), equipment saturations (and fuel, efficiency) and baseline information.  Include in-depth study of gas measures, saturation of wifi thermostats, factors affecting condensing equipment potential (and condensing equipment in place and in need of replacement) and other targets.  Construct user-friendly database.</w:t>
      </w:r>
      <w:r>
        <w:tab/>
      </w:r>
    </w:p>
    <w:p w14:paraId="538E92D4" w14:textId="77777777" w:rsidR="0060253C" w:rsidRDefault="0060253C" w:rsidP="0060253C">
      <w:r>
        <w:t>Description:  Conduct a detailed RASS study, using surveys and photo data collection methods, and consider other data collection efforts like audit reports, sending staff on auditor visits, etc.  Collect housing stock and shell information, equipment saturation, efficiency, and age information.  Provide in-depth information on gas equipment, penetration of wifi thermostats, and condensing equipment, including existing condensing equipment and replacement needs, and conditions affecting full savings potential from placing condensing equipment in other homes.  The study will also construct a user-friendly database for queries related to program planning, saturations, and potential estimates.   The study incorporates the requested examination of saturation of wifi thermostats and cooling options.</w:t>
      </w:r>
    </w:p>
    <w:p w14:paraId="1FA3A868" w14:textId="77777777" w:rsidR="0060253C" w:rsidRDefault="0060253C" w:rsidP="0060253C">
      <w:r>
        <w:t>Budget and Start Year: $700</w:t>
      </w:r>
      <w:r>
        <w:tab/>
        <w:t>2023</w:t>
      </w:r>
    </w:p>
    <w:p w14:paraId="64806C01" w14:textId="77777777" w:rsidR="0060253C" w:rsidRDefault="0060253C" w:rsidP="0060253C"/>
    <w:p w14:paraId="2DBC547B" w14:textId="77777777" w:rsidR="0060253C" w:rsidRPr="00404DB1" w:rsidRDefault="0060253C" w:rsidP="0060253C">
      <w:pPr>
        <w:rPr>
          <w:b/>
          <w:bCs/>
        </w:rPr>
      </w:pPr>
      <w:r w:rsidRPr="00404DB1">
        <w:rPr>
          <w:b/>
          <w:bCs/>
        </w:rPr>
        <w:t>X2203</w:t>
      </w:r>
      <w:r w:rsidRPr="00404DB1">
        <w:rPr>
          <w:b/>
          <w:bCs/>
        </w:rPr>
        <w:tab/>
        <w:t>DG</w:t>
      </w:r>
      <w:r w:rsidRPr="00404DB1">
        <w:rPr>
          <w:b/>
          <w:bCs/>
        </w:rPr>
        <w:tab/>
        <w:t>Baseline</w:t>
      </w:r>
      <w:r w:rsidRPr="00404DB1">
        <w:rPr>
          <w:b/>
          <w:bCs/>
        </w:rPr>
        <w:tab/>
        <w:t>Agricultural market and baseline assessment</w:t>
      </w:r>
      <w:r w:rsidRPr="00404DB1">
        <w:rPr>
          <w:b/>
          <w:bCs/>
        </w:rPr>
        <w:tab/>
      </w:r>
    </w:p>
    <w:p w14:paraId="2D01BEAA" w14:textId="77777777" w:rsidR="0060253C" w:rsidRDefault="0060253C" w:rsidP="0060253C">
      <w:r>
        <w:t xml:space="preserve">Outputs: Characterize CT agriculture market (dairy/crop, indoor/outdoor, food/non-food; technology); forecast economic growth and energy requirements by market type and indoor/outdoor class; assess current EE participation and future potential. </w:t>
      </w:r>
      <w:r>
        <w:tab/>
      </w:r>
    </w:p>
    <w:p w14:paraId="36FC3A47" w14:textId="77777777" w:rsidR="0060253C" w:rsidRDefault="0060253C" w:rsidP="0060253C">
      <w:r>
        <w:t>Description: This project provides estimates of baseline and forecast economic size and energy needs for the major growth and market types operating in Connecticut. The market breakdown will stratify by indoor (nursery, vegetable, cannabis markets) and outdoor (crop, dairy animal, poultry). Indoor and outdoor technologies (vertical, horizontal, stacked, natural vs artificial light) and associated and forecast electric and natural gas energy requirements for each will be estimated. The study will include descriptions of the energy using equipment and technical requirements to achieve optimal production. Energy efficiency and demand reduction measures along with savings algorithms and data needs will be developed for CT using information from other jurisdictions.  The study will include upstream interviews, interviews with customers / end-users, and will use the data to identify ISP and potential areas for intervention.</w:t>
      </w:r>
      <w:r>
        <w:tab/>
      </w:r>
    </w:p>
    <w:p w14:paraId="05548A51" w14:textId="77777777" w:rsidR="0060253C" w:rsidRDefault="0060253C" w:rsidP="0060253C">
      <w:r>
        <w:t>Budget and Start Year: $400</w:t>
      </w:r>
      <w:r>
        <w:tab/>
        <w:t>2022</w:t>
      </w:r>
    </w:p>
    <w:p w14:paraId="174AF4B5" w14:textId="77777777" w:rsidR="0060253C" w:rsidRDefault="0060253C" w:rsidP="0060253C"/>
    <w:p w14:paraId="319A8ED5" w14:textId="77777777" w:rsidR="0060253C" w:rsidRPr="00404DB1" w:rsidRDefault="0060253C" w:rsidP="0060253C">
      <w:pPr>
        <w:rPr>
          <w:b/>
          <w:bCs/>
        </w:rPr>
      </w:pPr>
      <w:r w:rsidRPr="00404DB1">
        <w:rPr>
          <w:b/>
          <w:bCs/>
        </w:rPr>
        <w:t>X2204</w:t>
      </w:r>
      <w:r w:rsidRPr="00404DB1">
        <w:rPr>
          <w:b/>
          <w:bCs/>
        </w:rPr>
        <w:tab/>
        <w:t>RP</w:t>
      </w:r>
      <w:r w:rsidRPr="00404DB1">
        <w:rPr>
          <w:b/>
          <w:bCs/>
        </w:rPr>
        <w:tab/>
        <w:t>Baseline</w:t>
      </w:r>
      <w:r w:rsidRPr="00404DB1">
        <w:rPr>
          <w:b/>
          <w:bCs/>
        </w:rPr>
        <w:tab/>
        <w:t>ISP Research</w:t>
      </w:r>
      <w:r w:rsidRPr="00404DB1">
        <w:rPr>
          <w:b/>
          <w:bCs/>
        </w:rPr>
        <w:tab/>
      </w:r>
    </w:p>
    <w:p w14:paraId="11665B5F" w14:textId="77777777" w:rsidR="0060253C" w:rsidRDefault="0060253C" w:rsidP="0060253C">
      <w:r>
        <w:t>Outputs: Recommended updates to baseline assumptions for lost opportunity measures; recommended updates to program design to reflect what is learned about market conditions.</w:t>
      </w:r>
      <w:r>
        <w:tab/>
      </w:r>
    </w:p>
    <w:p w14:paraId="1ECC04C2" w14:textId="77777777" w:rsidR="0060253C" w:rsidRDefault="0060253C" w:rsidP="0060253C">
      <w:r>
        <w:t>Description: This project will focus on characterizing what is getting sold or built in the overall markets for select technologies, with an eye toward both: (1) updating Industry Standard Practice (ISP) assumptions for lost opportunity measures; and (2) making recommendations for updates to program design to reflect what is learned about market conditions.  The project will begin by assessing the transferability of ISP results from MA, which has had an ISP research program in place for a few years.  Given the multitude of measure categories the programs target, the project will need to work with stakeholders to carefully prioritize the targets.  It will then perform primary ISP research for 3-5 specific measure categories, using medium-rigor approaches.</w:t>
      </w:r>
    </w:p>
    <w:p w14:paraId="13DF57A0" w14:textId="77777777" w:rsidR="0060253C" w:rsidRDefault="0060253C" w:rsidP="0060253C">
      <w:r>
        <w:t>Budget and Start Year: $300</w:t>
      </w:r>
      <w:r>
        <w:tab/>
        <w:t>2022</w:t>
      </w:r>
    </w:p>
    <w:p w14:paraId="7A316419" w14:textId="77777777" w:rsidR="0060253C" w:rsidRDefault="0060253C" w:rsidP="0060253C"/>
    <w:p w14:paraId="53D9FE27" w14:textId="77777777" w:rsidR="0060253C" w:rsidRPr="00404DB1" w:rsidRDefault="0060253C" w:rsidP="0060253C">
      <w:pPr>
        <w:rPr>
          <w:b/>
          <w:bCs/>
        </w:rPr>
      </w:pPr>
      <w:r w:rsidRPr="00404DB1">
        <w:rPr>
          <w:b/>
          <w:bCs/>
        </w:rPr>
        <w:t>C2205</w:t>
      </w:r>
      <w:r w:rsidRPr="00404DB1">
        <w:rPr>
          <w:b/>
          <w:bCs/>
        </w:rPr>
        <w:tab/>
        <w:t>PJ</w:t>
      </w:r>
      <w:r w:rsidRPr="00404DB1">
        <w:rPr>
          <w:b/>
          <w:bCs/>
        </w:rPr>
        <w:tab/>
        <w:t>Baseline</w:t>
      </w:r>
      <w:r w:rsidRPr="00404DB1">
        <w:rPr>
          <w:b/>
          <w:bCs/>
        </w:rPr>
        <w:tab/>
        <w:t>Refrigerated casework and desiccant AHU baseline</w:t>
      </w:r>
      <w:r w:rsidRPr="00404DB1">
        <w:rPr>
          <w:b/>
          <w:bCs/>
        </w:rPr>
        <w:tab/>
      </w:r>
    </w:p>
    <w:p w14:paraId="6CF80DBC" w14:textId="77777777" w:rsidR="0060253C" w:rsidRDefault="0060253C" w:rsidP="0060253C">
      <w:r>
        <w:t>Outputs: Refrigerated casework baseline; desiccant AHU baseline</w:t>
      </w:r>
      <w:r>
        <w:tab/>
      </w:r>
    </w:p>
    <w:p w14:paraId="0333D0E6" w14:textId="62FE7328" w:rsidR="0060253C" w:rsidRDefault="0060253C" w:rsidP="0060253C">
      <w:r>
        <w:t xml:space="preserve">Description: This study will establish the standard practice baseline for two separate measures types: grocery store refrigerated casework and HVAC system air handlers with desiccant dehumidifiers.  These equipment types are not covered by the CT energy code and represent good opportunities for energy efficiency improvements.  Surveys of standard practices will used to establish the baseline.  The project will use a combination of subject matter expert interviews and interviews with distributors of refrigeration and HVAC equipment. The baseline will be used for custom project development and potential new measure additions to the PSD. </w:t>
      </w:r>
      <w:r w:rsidR="00AF5783">
        <w:t xml:space="preserve"> Note that t</w:t>
      </w:r>
      <w:r>
        <w:t>he availability of recently-constructed refrigeration system plans may constrain the sample size available for the baseline estimation work</w:t>
      </w:r>
      <w:r w:rsidR="00AF5783">
        <w:t>, and will be taken into account in study design.</w:t>
      </w:r>
    </w:p>
    <w:p w14:paraId="75E1B4BC" w14:textId="77777777" w:rsidR="0060253C" w:rsidRDefault="0060253C" w:rsidP="0060253C">
      <w:r>
        <w:t>Budget and Start Year: $85</w:t>
      </w:r>
      <w:r>
        <w:tab/>
        <w:t>2022</w:t>
      </w:r>
    </w:p>
    <w:p w14:paraId="6EDF7E71" w14:textId="77777777" w:rsidR="0060253C" w:rsidRDefault="0060253C" w:rsidP="0060253C"/>
    <w:p w14:paraId="0F02A66C" w14:textId="77777777" w:rsidR="0060253C" w:rsidRPr="006B779E" w:rsidRDefault="0060253C" w:rsidP="0060253C">
      <w:pPr>
        <w:rPr>
          <w:b/>
          <w:bCs/>
        </w:rPr>
      </w:pPr>
      <w:r w:rsidRPr="006B779E">
        <w:rPr>
          <w:b/>
          <w:bCs/>
        </w:rPr>
        <w:t>R2206</w:t>
      </w:r>
      <w:r w:rsidRPr="006B779E">
        <w:rPr>
          <w:b/>
          <w:bCs/>
        </w:rPr>
        <w:tab/>
        <w:t>LAS</w:t>
      </w:r>
      <w:r w:rsidRPr="006B779E">
        <w:rPr>
          <w:b/>
          <w:bCs/>
        </w:rPr>
        <w:tab/>
        <w:t>Baseline</w:t>
      </w:r>
      <w:r w:rsidRPr="006B779E">
        <w:rPr>
          <w:b/>
          <w:bCs/>
        </w:rPr>
        <w:tab/>
        <w:t>Residential Lighting - Hard to Reach &amp; DI-IE Update</w:t>
      </w:r>
      <w:r w:rsidRPr="006B779E">
        <w:rPr>
          <w:b/>
          <w:bCs/>
        </w:rPr>
        <w:tab/>
      </w:r>
    </w:p>
    <w:p w14:paraId="73B729F7" w14:textId="5E7E655B" w:rsidR="0060253C" w:rsidRDefault="0060253C" w:rsidP="0060253C">
      <w:r>
        <w:t xml:space="preserve">Outputs: Evaluate the status of transformation / remaining need for program interventions in the residential </w:t>
      </w:r>
      <w:r w:rsidR="00AF5783">
        <w:t>Hard-to-Reach (</w:t>
      </w:r>
      <w:r>
        <w:t>HTR</w:t>
      </w:r>
      <w:r w:rsidR="00AF5783">
        <w:t>)</w:t>
      </w:r>
      <w:r>
        <w:t xml:space="preserve"> and DI-IE markets.</w:t>
      </w:r>
      <w:r>
        <w:tab/>
      </w:r>
    </w:p>
    <w:p w14:paraId="54D1D36D" w14:textId="77777777" w:rsidR="0060253C" w:rsidRDefault="0060253C" w:rsidP="0060253C">
      <w:r>
        <w:t>Description: Study uses sales and/or stocking study methods to identify if interventions in these remaining residential markets are still warranted.  Estimate the remaining savings opportunities, status of the market, success and ability of HTR retailers to address needs in this market.  Provide recommendation on whether evidence suggests the programs should exit these markets at end of 2022 as currently planned.</w:t>
      </w:r>
    </w:p>
    <w:p w14:paraId="10A8EF9E" w14:textId="77777777" w:rsidR="0060253C" w:rsidRDefault="0060253C" w:rsidP="0060253C">
      <w:r>
        <w:t>Budget and Start Year: $175</w:t>
      </w:r>
      <w:r>
        <w:tab/>
        <w:t>2022</w:t>
      </w:r>
    </w:p>
    <w:p w14:paraId="3BFD2CE8" w14:textId="77777777" w:rsidR="0060253C" w:rsidRDefault="0060253C" w:rsidP="0060253C"/>
    <w:p w14:paraId="6A6D0065" w14:textId="77777777" w:rsidR="0060253C" w:rsidRPr="004A3991" w:rsidRDefault="0060253C" w:rsidP="0060253C">
      <w:pPr>
        <w:rPr>
          <w:b/>
          <w:bCs/>
        </w:rPr>
      </w:pPr>
      <w:r w:rsidRPr="004A3991">
        <w:rPr>
          <w:b/>
          <w:bCs/>
        </w:rPr>
        <w:t>C2207</w:t>
      </w:r>
      <w:r w:rsidRPr="004A3991">
        <w:rPr>
          <w:b/>
          <w:bCs/>
        </w:rPr>
        <w:tab/>
        <w:t>PJ</w:t>
      </w:r>
      <w:r w:rsidRPr="004A3991">
        <w:rPr>
          <w:b/>
          <w:bCs/>
        </w:rPr>
        <w:tab/>
        <w:t>Baseline</w:t>
      </w:r>
      <w:r w:rsidRPr="004A3991">
        <w:rPr>
          <w:b/>
          <w:bCs/>
        </w:rPr>
        <w:tab/>
        <w:t xml:space="preserve">Advanced Lighting Controls Market study to examine </w:t>
      </w:r>
      <w:r>
        <w:rPr>
          <w:b/>
          <w:bCs/>
        </w:rPr>
        <w:t xml:space="preserve">potential and </w:t>
      </w:r>
      <w:r w:rsidRPr="004A3991">
        <w:rPr>
          <w:b/>
          <w:bCs/>
        </w:rPr>
        <w:t>guide interventions</w:t>
      </w:r>
    </w:p>
    <w:p w14:paraId="72B5237E" w14:textId="77777777" w:rsidR="0060253C" w:rsidRPr="0060253C" w:rsidRDefault="0060253C" w:rsidP="0060253C">
      <w:r w:rsidRPr="0060253C">
        <w:t>Outputs:  Lighting Market study focused on Advanced Lighting controls, looking at how they are used, potential, and advice on how best to intervene in the market successfully.</w:t>
      </w:r>
      <w:r w:rsidRPr="0060253C">
        <w:tab/>
      </w:r>
    </w:p>
    <w:p w14:paraId="2A1F7BD5" w14:textId="77777777" w:rsidR="0060253C" w:rsidRPr="0060253C" w:rsidRDefault="0060253C" w:rsidP="0060253C">
      <w:r w:rsidRPr="0060253C">
        <w:t xml:space="preserve">Description: Lighting market study focused on Advanced Lighting Controls.  This study will focus on this important "next" lighting measure, providing information related to the measure itself (and the range of equipment), how (and where) they are used, and most importantly, how best to intervene in this market successfully.  Uptake has been relatively slow for these measures, so information to understand how to be more effective in achieving savings through effective measure choice (accounting for current and future technology directions), cost and incentive levels, effective informational materials, and program design are important to get traction in this measure.  </w:t>
      </w:r>
    </w:p>
    <w:p w14:paraId="14DE52F4" w14:textId="77777777" w:rsidR="0060253C" w:rsidRPr="0060253C" w:rsidRDefault="0060253C" w:rsidP="0060253C">
      <w:r w:rsidRPr="0060253C">
        <w:t xml:space="preserve">Budget: </w:t>
      </w:r>
      <w:r w:rsidRPr="0060253C">
        <w:tab/>
        <w:t>$175K</w:t>
      </w:r>
    </w:p>
    <w:p w14:paraId="30211370" w14:textId="77777777" w:rsidR="0060253C" w:rsidRDefault="0060253C" w:rsidP="0060253C"/>
    <w:p w14:paraId="7FF37D62" w14:textId="77777777" w:rsidR="0060253C" w:rsidRPr="004A3991" w:rsidRDefault="0060253C" w:rsidP="0060253C">
      <w:pPr>
        <w:rPr>
          <w:b/>
          <w:bCs/>
        </w:rPr>
      </w:pPr>
      <w:r w:rsidRPr="004A3991">
        <w:rPr>
          <w:b/>
          <w:bCs/>
        </w:rPr>
        <w:t>X2208</w:t>
      </w:r>
      <w:r w:rsidRPr="004A3991">
        <w:rPr>
          <w:b/>
          <w:bCs/>
        </w:rPr>
        <w:tab/>
        <w:t>DG</w:t>
      </w:r>
      <w:r w:rsidRPr="004A3991">
        <w:rPr>
          <w:b/>
          <w:bCs/>
        </w:rPr>
        <w:tab/>
        <w:t>Baseline</w:t>
      </w:r>
      <w:r w:rsidRPr="004A3991">
        <w:rPr>
          <w:b/>
          <w:bCs/>
        </w:rPr>
        <w:tab/>
        <w:t>Market effects pulse survey (residential and commercial)</w:t>
      </w:r>
      <w:r w:rsidRPr="004A3991">
        <w:rPr>
          <w:b/>
          <w:bCs/>
        </w:rPr>
        <w:tab/>
      </w:r>
    </w:p>
    <w:p w14:paraId="0EBE3096" w14:textId="77777777" w:rsidR="0060253C" w:rsidRPr="0060253C" w:rsidRDefault="0060253C" w:rsidP="0060253C">
      <w:r w:rsidRPr="0060253C">
        <w:t>Outputs:  Regular feedback that keeps track of fast-changing market changes including information on purchases, awareness / behaviors, barriers, and market trends for key products and practices, and fast-turnaround feedback on topics and issues.  Expected to address both residential and commercial sectors.</w:t>
      </w:r>
      <w:r w:rsidRPr="0060253C">
        <w:tab/>
      </w:r>
    </w:p>
    <w:p w14:paraId="1ADD1425" w14:textId="77777777" w:rsidR="0060253C" w:rsidRDefault="0060253C" w:rsidP="0060253C">
      <w:r w:rsidRPr="0060253C">
        <w:t xml:space="preserve">Description: This study will provide routine and fast-turnaround information on fast-changing markets, purchases, awareness/behaviors, barriers, market trends for key products and practices, and provide a readily-accessible source for feedback on hot topics and issues of concern.  It is much easier to gather this information quickly if there is a regular framework in place.  This periodic survey identifies and investigates market changes; for example, gas heating efficient market share, commercial lighting / controls, heat pump and HPWH sales and SEER levels, new construction insulation practices, decision-making factors, feedback on electrification or underserved communities, and other information.  The study will investigate the advantages of panel vs. random design.  The study will report trends in types, quantities, efficiency levels, barriers for the selected products. This information can be used to modify and target program incentives, develop current ISP baselines, measure market maturation.  Timing was moved to later years, so the EA can assess the types of research and data collection that arise across multiple evaluation studies might more efficiently be collected through this aggregated survey effort.  There is also interest in considering establishing a contractor panel.  </w:t>
      </w:r>
    </w:p>
    <w:p w14:paraId="315AA264" w14:textId="7D149D22" w:rsidR="0060253C" w:rsidRPr="0060253C" w:rsidRDefault="0060253C" w:rsidP="0060253C">
      <w:r w:rsidRPr="0060253C">
        <w:t>Budget:  $500K</w:t>
      </w:r>
    </w:p>
    <w:p w14:paraId="05B79362" w14:textId="77777777" w:rsidR="0060253C" w:rsidRDefault="0060253C" w:rsidP="0060253C"/>
    <w:p w14:paraId="6E9DD504" w14:textId="77777777" w:rsidR="0060253C" w:rsidRPr="006B779E" w:rsidRDefault="0060253C" w:rsidP="0060253C">
      <w:pPr>
        <w:rPr>
          <w:b/>
          <w:bCs/>
        </w:rPr>
      </w:pPr>
      <w:r w:rsidRPr="006B779E">
        <w:rPr>
          <w:b/>
          <w:bCs/>
        </w:rPr>
        <w:t>R2209</w:t>
      </w:r>
      <w:r w:rsidRPr="006B779E">
        <w:rPr>
          <w:b/>
          <w:bCs/>
        </w:rPr>
        <w:tab/>
        <w:t>RW</w:t>
      </w:r>
      <w:r w:rsidRPr="006B779E">
        <w:rPr>
          <w:b/>
          <w:bCs/>
        </w:rPr>
        <w:tab/>
        <w:t>Baseline</w:t>
      </w:r>
      <w:r w:rsidRPr="006B779E">
        <w:rPr>
          <w:b/>
          <w:bCs/>
        </w:rPr>
        <w:tab/>
      </w:r>
      <w:bookmarkStart w:id="14" w:name="_Hlk90003126"/>
      <w:r w:rsidRPr="006B779E">
        <w:rPr>
          <w:b/>
          <w:bCs/>
        </w:rPr>
        <w:t>Residential New Construction NTG and Code compliance Attribution</w:t>
      </w:r>
      <w:bookmarkEnd w:id="14"/>
    </w:p>
    <w:p w14:paraId="3801E00F" w14:textId="77777777" w:rsidR="0060253C" w:rsidRDefault="0060253C" w:rsidP="0060253C">
      <w:r>
        <w:t>Outputs: NTG for RNC, marker effects of code compliance activities.</w:t>
      </w:r>
    </w:p>
    <w:p w14:paraId="3AFD5E9D" w14:textId="30DE58BF" w:rsidR="0060253C" w:rsidRDefault="0060253C" w:rsidP="0060253C">
      <w:r>
        <w:t>Description: Update to NTG using Delphi panel process similar to what was done last time. Current NTG figure (~150%) is higher than surrounding areas (~30%).  This</w:t>
      </w:r>
      <w:r w:rsidR="00AF5783">
        <w:t xml:space="preserve"> information will </w:t>
      </w:r>
      <w:r>
        <w:t>need updating soon.  The study will include market effects related to code compliance to the degree feasible.</w:t>
      </w:r>
    </w:p>
    <w:p w14:paraId="25238B99" w14:textId="77777777" w:rsidR="0060253C" w:rsidRDefault="0060253C" w:rsidP="0060253C">
      <w:r>
        <w:t>Budget and Start Year: $200</w:t>
      </w:r>
      <w:r>
        <w:tab/>
        <w:t>2022</w:t>
      </w:r>
    </w:p>
    <w:p w14:paraId="5FAF28E6" w14:textId="77777777" w:rsidR="0060253C" w:rsidRDefault="0060253C" w:rsidP="0060253C"/>
    <w:p w14:paraId="5DC0E1DC" w14:textId="77777777" w:rsidR="0060253C" w:rsidRDefault="0060253C" w:rsidP="0060253C">
      <w:pPr>
        <w:pStyle w:val="Heading2"/>
      </w:pPr>
      <w:bookmarkStart w:id="15" w:name="_Toc90010650"/>
      <w:bookmarkStart w:id="16" w:name="_Toc90618556"/>
      <w:r>
        <w:t>4.2 Impact and Impact /Process Evaluations (2210-2219)</w:t>
      </w:r>
      <w:bookmarkEnd w:id="15"/>
      <w:bookmarkEnd w:id="16"/>
    </w:p>
    <w:p w14:paraId="4BA59AC0" w14:textId="77777777" w:rsidR="0060253C" w:rsidRPr="00AC6496" w:rsidRDefault="0060253C" w:rsidP="0060253C"/>
    <w:p w14:paraId="2B2E8BD2" w14:textId="77777777" w:rsidR="0060253C" w:rsidRPr="009151DB" w:rsidRDefault="0060253C" w:rsidP="0060253C">
      <w:pPr>
        <w:rPr>
          <w:b/>
          <w:bCs/>
        </w:rPr>
      </w:pPr>
      <w:r w:rsidRPr="009151DB">
        <w:rPr>
          <w:b/>
          <w:bCs/>
        </w:rPr>
        <w:t>C2210</w:t>
      </w:r>
      <w:r w:rsidRPr="009151DB">
        <w:rPr>
          <w:b/>
          <w:bCs/>
        </w:rPr>
        <w:tab/>
        <w:t>PJ</w:t>
      </w:r>
      <w:r w:rsidRPr="009151DB">
        <w:rPr>
          <w:b/>
          <w:bCs/>
        </w:rPr>
        <w:tab/>
        <w:t>Impact</w:t>
      </w:r>
      <w:r w:rsidRPr="009151DB">
        <w:rPr>
          <w:b/>
          <w:bCs/>
        </w:rPr>
        <w:tab/>
        <w:t>ECB impact evaluation</w:t>
      </w:r>
      <w:r w:rsidRPr="009151DB">
        <w:rPr>
          <w:b/>
          <w:bCs/>
        </w:rPr>
        <w:tab/>
      </w:r>
    </w:p>
    <w:p w14:paraId="33B6C97D" w14:textId="4DFDF75F" w:rsidR="0060253C" w:rsidRDefault="0060253C" w:rsidP="0060253C">
      <w:r>
        <w:t xml:space="preserve">Outputs: Realization rates on kWh, peak kW and therm savings by measure group for the ECB program; true-up of winter and summer peak demand </w:t>
      </w:r>
      <w:r w:rsidR="00AF5783">
        <w:t>coincidence factors</w:t>
      </w:r>
      <w:r>
        <w:t xml:space="preserve"> consistent with ISO-NE definition.</w:t>
      </w:r>
    </w:p>
    <w:p w14:paraId="065C7DDB" w14:textId="2315EB54" w:rsidR="0060253C" w:rsidRDefault="0060253C" w:rsidP="0060253C">
      <w:r>
        <w:t>Description: Conduct a full impact evaluation of the Energy Conscious Blueprint (ECB) program.  This is a periodic evaluation of a major CT C&amp;I sector energy efficiency program.  The evaluation will consist of site visits, on-site measurement and verification (M&amp;V), and engineering analysis to support the development of realization rates for kWh, kW and therm savings by the measure groups established in the CT PSD.  Monitored data will be used to revised peak demand coincidence factors consistent with the ISO-NE definition.  Savings estimates for some measure groups will depend on sample size.  This study can be started in the third year of the period, and finished in the beginning of the next three-year plan.  The total budget is estimated as Budget and Start Year: $1.25 million, with 50% in this period.</w:t>
      </w:r>
      <w:r w:rsidR="00AF5783">
        <w:t xml:space="preserve">  The other half will need to be picked up as part of the 2025-27 plan.</w:t>
      </w:r>
    </w:p>
    <w:p w14:paraId="2554EBF0" w14:textId="77777777" w:rsidR="0060253C" w:rsidRDefault="0060253C" w:rsidP="0060253C">
      <w:r>
        <w:t>Budget and Start Year: $1,250</w:t>
      </w:r>
      <w:r>
        <w:tab/>
        <w:t>2024</w:t>
      </w:r>
    </w:p>
    <w:p w14:paraId="45EC2490" w14:textId="77777777" w:rsidR="0060253C" w:rsidRDefault="0060253C" w:rsidP="0060253C"/>
    <w:p w14:paraId="0F438201" w14:textId="77777777" w:rsidR="0060253C" w:rsidRPr="009151DB" w:rsidRDefault="0060253C" w:rsidP="0060253C">
      <w:pPr>
        <w:rPr>
          <w:b/>
          <w:bCs/>
        </w:rPr>
      </w:pPr>
      <w:r w:rsidRPr="009151DB">
        <w:rPr>
          <w:b/>
          <w:bCs/>
        </w:rPr>
        <w:t>C2211</w:t>
      </w:r>
      <w:r w:rsidRPr="009151DB">
        <w:rPr>
          <w:b/>
          <w:bCs/>
        </w:rPr>
        <w:tab/>
        <w:t>PJ</w:t>
      </w:r>
      <w:r w:rsidRPr="009151DB">
        <w:rPr>
          <w:b/>
          <w:bCs/>
        </w:rPr>
        <w:tab/>
        <w:t>Impact</w:t>
      </w:r>
      <w:r w:rsidRPr="009151DB">
        <w:rPr>
          <w:b/>
          <w:bCs/>
        </w:rPr>
        <w:tab/>
        <w:t>BES/O&amp;M Impact and process</w:t>
      </w:r>
      <w:r w:rsidRPr="009151DB">
        <w:rPr>
          <w:b/>
          <w:bCs/>
        </w:rPr>
        <w:tab/>
      </w:r>
    </w:p>
    <w:p w14:paraId="2BDF241A" w14:textId="48F4B002" w:rsidR="0060253C" w:rsidRDefault="0060253C" w:rsidP="0060253C">
      <w:r>
        <w:t xml:space="preserve">Outputs:  kWh, kW and therm impacts; realization </w:t>
      </w:r>
      <w:r w:rsidR="00AF5783">
        <w:t>rates; barriers</w:t>
      </w:r>
      <w:r>
        <w:t xml:space="preserve"> to participation; participation issues</w:t>
      </w:r>
    </w:p>
    <w:p w14:paraId="2A78B4B7" w14:textId="41DFAB0F" w:rsidR="0060253C" w:rsidRDefault="0060253C" w:rsidP="0060253C">
      <w:r>
        <w:t xml:space="preserve">Description: BES offers a variety of operations and maintenance (O&amp;M) and retro commissioning (RCx) program offerings, including Strategic Energy Management (SEM).   SEM is currently the subject of a process and impact study (CT C1906).  This study will address the other programs within the BES program umbrella.  An impact and process evaluation will be conducted using customer interviews, program manager interviews, onsite surveys and M&amp;V at a sample of sites.  M&amp;V may include a combination of billing analysis similar to the SEM program or equipment specific monitoring.  This study's timing will be contingent on sufficient participation and customer access for onsite surveys and </w:t>
      </w:r>
      <w:proofErr w:type="spellStart"/>
      <w:r>
        <w:t>M&amp;V</w:t>
      </w:r>
      <w:proofErr w:type="spellEnd"/>
      <w:r>
        <w:t>.</w:t>
      </w:r>
      <w:r>
        <w:tab/>
      </w:r>
    </w:p>
    <w:p w14:paraId="73B99DF4" w14:textId="77777777" w:rsidR="0060253C" w:rsidRDefault="0060253C" w:rsidP="0060253C">
      <w:r>
        <w:t>Budget and Start Year: $600</w:t>
      </w:r>
      <w:r>
        <w:tab/>
        <w:t>2022</w:t>
      </w:r>
    </w:p>
    <w:p w14:paraId="32ED92CD" w14:textId="77777777" w:rsidR="0060253C" w:rsidRDefault="0060253C" w:rsidP="0060253C"/>
    <w:p w14:paraId="5F25915F" w14:textId="77777777" w:rsidR="0060253C" w:rsidRPr="009151DB" w:rsidRDefault="0060253C" w:rsidP="0060253C">
      <w:pPr>
        <w:rPr>
          <w:b/>
          <w:bCs/>
        </w:rPr>
      </w:pPr>
      <w:r w:rsidRPr="009151DB">
        <w:rPr>
          <w:b/>
          <w:bCs/>
        </w:rPr>
        <w:t>R2212</w:t>
      </w:r>
      <w:r w:rsidRPr="009151DB">
        <w:rPr>
          <w:b/>
          <w:bCs/>
        </w:rPr>
        <w:tab/>
        <w:t>LAS</w:t>
      </w:r>
      <w:r w:rsidRPr="009151DB">
        <w:rPr>
          <w:b/>
          <w:bCs/>
        </w:rPr>
        <w:tab/>
        <w:t>Impact</w:t>
      </w:r>
      <w:r w:rsidRPr="009151DB">
        <w:rPr>
          <w:b/>
          <w:bCs/>
        </w:rPr>
        <w:tab/>
        <w:t>Behavioral Program Impact Evaluation</w:t>
      </w:r>
      <w:r w:rsidRPr="009151DB">
        <w:rPr>
          <w:b/>
          <w:bCs/>
        </w:rPr>
        <w:tab/>
      </w:r>
    </w:p>
    <w:p w14:paraId="3F46CD9E" w14:textId="77777777" w:rsidR="0060253C" w:rsidRDefault="0060253C" w:rsidP="0060253C">
      <w:r>
        <w:t>Outputs: Impact evaluation savings for UI and ES behavioral programs.</w:t>
      </w:r>
      <w:r>
        <w:tab/>
      </w:r>
    </w:p>
    <w:p w14:paraId="1A4AF3A7" w14:textId="77777777" w:rsidR="0060253C" w:rsidRDefault="0060253C" w:rsidP="0060253C">
      <w:r>
        <w:t>Description: Pre/post/control group evaluation of the savings from ES and UI behavioral programs for PSD.  Depending on the degree of work conducted in Massachusetts, and the degree of transferability assumed, this may include only UI estimates.  Study timing will depend on program ramp up.</w:t>
      </w:r>
      <w:r>
        <w:tab/>
      </w:r>
    </w:p>
    <w:p w14:paraId="48720B8F" w14:textId="77777777" w:rsidR="0060253C" w:rsidRDefault="0060253C" w:rsidP="0060253C">
      <w:r>
        <w:t>Budget and Start Year: $100</w:t>
      </w:r>
      <w:r>
        <w:tab/>
        <w:t>2023</w:t>
      </w:r>
    </w:p>
    <w:p w14:paraId="5A324823" w14:textId="77777777" w:rsidR="0060253C" w:rsidRDefault="0060253C" w:rsidP="0060253C"/>
    <w:p w14:paraId="560642BA" w14:textId="77777777" w:rsidR="0060253C" w:rsidRPr="009151DB" w:rsidRDefault="0060253C" w:rsidP="0060253C">
      <w:pPr>
        <w:rPr>
          <w:b/>
          <w:bCs/>
        </w:rPr>
      </w:pPr>
      <w:r w:rsidRPr="009151DB">
        <w:rPr>
          <w:b/>
          <w:bCs/>
        </w:rPr>
        <w:t>R2213</w:t>
      </w:r>
      <w:r w:rsidRPr="009151DB">
        <w:rPr>
          <w:b/>
          <w:bCs/>
        </w:rPr>
        <w:tab/>
        <w:t>LAS</w:t>
      </w:r>
      <w:r w:rsidRPr="009151DB">
        <w:rPr>
          <w:b/>
          <w:bCs/>
        </w:rPr>
        <w:tab/>
        <w:t>Impact</w:t>
      </w:r>
      <w:r w:rsidRPr="009151DB">
        <w:rPr>
          <w:b/>
          <w:bCs/>
        </w:rPr>
        <w:tab/>
        <w:t>Oil Savings Impacts - Methods, Attribution</w:t>
      </w:r>
      <w:r w:rsidRPr="009151DB">
        <w:rPr>
          <w:b/>
          <w:bCs/>
        </w:rPr>
        <w:tab/>
      </w:r>
    </w:p>
    <w:p w14:paraId="493AB582" w14:textId="77777777" w:rsidR="0060253C" w:rsidRDefault="0060253C" w:rsidP="0060253C">
      <w:r>
        <w:t>Outputs: Identify any changes in best practices / methods in estimating oil / delivered fuel savings since study R91.  Examine estimates that can be attributable for Weatherization measures, estimates suitable for use with new vendor /audit tools, and for HP conversions.</w:t>
      </w:r>
      <w:r>
        <w:tab/>
      </w:r>
    </w:p>
    <w:p w14:paraId="6C521131" w14:textId="77777777" w:rsidR="0060253C" w:rsidRDefault="0060253C" w:rsidP="0060253C">
      <w:r>
        <w:t>Description: Conduct a detailed literature review and SME interviews to identify the best practices for estimating attributable energy savings for oil and delivered fuels, which have high penetration in CT, and are important for fully assessing savings in CT.  Consider special approaches that may be necessary for different measures, including HP and other residential and commercial measures.  Conduct a threshold analysis of the degree to which changes or more sophisticated practices would change the savings estimates developed using current CT practices for these savings, and confirm and lay out the best practices for impact evaluation for these fuels that should be implemented for all relevant residential and commercial impact studies going forward in CT.  Provide recommendations for estimates that can be attributable for Weatherization measures (and methods going forward), and provide best estimates suitable for use with new residential and commercial vendor /audit tools.  Also develop specific recommendations for HP conversions.</w:t>
      </w:r>
      <w:r>
        <w:tab/>
      </w:r>
    </w:p>
    <w:p w14:paraId="236A8442" w14:textId="77777777" w:rsidR="0060253C" w:rsidRDefault="0060253C" w:rsidP="0060253C">
      <w:r>
        <w:t>Budget and Start Year: $125</w:t>
      </w:r>
      <w:r>
        <w:tab/>
        <w:t>2022</w:t>
      </w:r>
    </w:p>
    <w:p w14:paraId="48608A67" w14:textId="77777777" w:rsidR="0060253C" w:rsidRDefault="0060253C" w:rsidP="0060253C"/>
    <w:p w14:paraId="3AAA74A0" w14:textId="77777777" w:rsidR="0060253C" w:rsidRPr="009151DB" w:rsidRDefault="0060253C" w:rsidP="0060253C">
      <w:pPr>
        <w:rPr>
          <w:b/>
          <w:bCs/>
        </w:rPr>
      </w:pPr>
      <w:r w:rsidRPr="009151DB">
        <w:rPr>
          <w:b/>
          <w:bCs/>
        </w:rPr>
        <w:t>X2214</w:t>
      </w:r>
      <w:r w:rsidRPr="009151DB">
        <w:rPr>
          <w:b/>
          <w:bCs/>
        </w:rPr>
        <w:tab/>
        <w:t>RW</w:t>
      </w:r>
      <w:r w:rsidRPr="009151DB">
        <w:rPr>
          <w:b/>
          <w:bCs/>
        </w:rPr>
        <w:tab/>
        <w:t>Impact Baseline</w:t>
      </w:r>
      <w:r w:rsidRPr="009151DB">
        <w:rPr>
          <w:b/>
          <w:bCs/>
        </w:rPr>
        <w:tab/>
        <w:t>Demand Response Studies</w:t>
      </w:r>
      <w:r w:rsidRPr="009151DB">
        <w:rPr>
          <w:b/>
          <w:bCs/>
        </w:rPr>
        <w:tab/>
      </w:r>
    </w:p>
    <w:p w14:paraId="3848E47C" w14:textId="77777777" w:rsidR="0060253C" w:rsidRDefault="0060253C" w:rsidP="0060253C">
      <w:r>
        <w:t>Outputs: Baselines and Impacts of DR initiatives</w:t>
      </w:r>
      <w:r>
        <w:tab/>
      </w:r>
    </w:p>
    <w:p w14:paraId="5F723207" w14:textId="77777777" w:rsidR="0060253C" w:rsidRDefault="0060253C" w:rsidP="0060253C">
      <w:r>
        <w:t>Description: This study will continue to evaluate the DR initiatives offered by the utilities.  Where appropriate, this study assumes potential cooperation with MA.</w:t>
      </w:r>
    </w:p>
    <w:p w14:paraId="3AF60D3C" w14:textId="77777777" w:rsidR="0060253C" w:rsidRDefault="0060253C" w:rsidP="0060253C">
      <w:r>
        <w:t>Budget and Start Year: $200</w:t>
      </w:r>
      <w:r>
        <w:tab/>
        <w:t>2022</w:t>
      </w:r>
    </w:p>
    <w:p w14:paraId="0C6696B5" w14:textId="77777777" w:rsidR="0060253C" w:rsidRDefault="0060253C" w:rsidP="0060253C"/>
    <w:p w14:paraId="56B06469" w14:textId="77777777" w:rsidR="0060253C" w:rsidRPr="009151DB" w:rsidRDefault="0060253C" w:rsidP="0060253C">
      <w:pPr>
        <w:rPr>
          <w:b/>
          <w:bCs/>
        </w:rPr>
      </w:pPr>
      <w:r w:rsidRPr="009151DB">
        <w:rPr>
          <w:b/>
          <w:bCs/>
        </w:rPr>
        <w:t>R2215</w:t>
      </w:r>
      <w:r w:rsidRPr="009151DB">
        <w:rPr>
          <w:b/>
          <w:bCs/>
        </w:rPr>
        <w:tab/>
        <w:t>RW</w:t>
      </w:r>
      <w:r w:rsidRPr="009151DB">
        <w:rPr>
          <w:b/>
          <w:bCs/>
        </w:rPr>
        <w:tab/>
        <w:t>Impact Baseline</w:t>
      </w:r>
      <w:r w:rsidRPr="009151DB">
        <w:rPr>
          <w:b/>
          <w:bCs/>
        </w:rPr>
        <w:tab/>
        <w:t>Residential New Construction Impact Evaluation and Code Compliance - PHASE 2</w:t>
      </w:r>
      <w:r w:rsidRPr="009151DB">
        <w:rPr>
          <w:b/>
          <w:bCs/>
        </w:rPr>
        <w:tab/>
      </w:r>
    </w:p>
    <w:p w14:paraId="4808F4FF" w14:textId="77777777" w:rsidR="0060253C" w:rsidRDefault="0060253C" w:rsidP="0060253C">
      <w:r>
        <w:t>Outputs: User Defined Reference Home baseline, Code compliance baseline, gross savings</w:t>
      </w:r>
      <w:r>
        <w:tab/>
      </w:r>
    </w:p>
    <w:p w14:paraId="1AABC736" w14:textId="423880D5" w:rsidR="0060253C" w:rsidRDefault="0060253C" w:rsidP="0060253C">
      <w:r>
        <w:t xml:space="preserve">Description: Regular cadence study of RNC with onsite and code office data collection to compare features of program and non-program homes.  Calculation of User Defined Reference Home.  Needs to wait until 6-months after new code.  </w:t>
      </w:r>
      <w:r w:rsidR="00AF5783">
        <w:t xml:space="preserve">The study </w:t>
      </w:r>
      <w:r>
        <w:t>does not specifically parse out the contribution of code training or enhanced enforcement</w:t>
      </w:r>
      <w:r w:rsidR="00AF5783">
        <w:t xml:space="preserve">, as this is a very </w:t>
      </w:r>
      <w:r w:rsidR="004C20FC">
        <w:t>expensive and involved.  Other states have used other processes to assign these shares.</w:t>
      </w:r>
      <w:r>
        <w:tab/>
      </w:r>
    </w:p>
    <w:p w14:paraId="4B061DA9" w14:textId="77777777" w:rsidR="0060253C" w:rsidRDefault="0060253C" w:rsidP="0060253C">
      <w:r>
        <w:t>Budget and Start Year: $300</w:t>
      </w:r>
      <w:r>
        <w:tab/>
        <w:t>2023</w:t>
      </w:r>
    </w:p>
    <w:p w14:paraId="44ACBB54" w14:textId="77777777" w:rsidR="0060253C" w:rsidRDefault="0060253C" w:rsidP="0060253C"/>
    <w:p w14:paraId="319B64AD" w14:textId="77777777" w:rsidR="0060253C" w:rsidRPr="00FB19CE" w:rsidRDefault="0060253C" w:rsidP="0060253C">
      <w:pPr>
        <w:rPr>
          <w:b/>
          <w:bCs/>
        </w:rPr>
      </w:pPr>
      <w:r w:rsidRPr="00FB19CE">
        <w:rPr>
          <w:b/>
          <w:bCs/>
        </w:rPr>
        <w:t>C2216</w:t>
      </w:r>
      <w:r w:rsidRPr="00FB19CE">
        <w:rPr>
          <w:b/>
          <w:bCs/>
        </w:rPr>
        <w:tab/>
        <w:t>DG</w:t>
      </w:r>
      <w:r w:rsidRPr="00FB19CE">
        <w:rPr>
          <w:b/>
          <w:bCs/>
        </w:rPr>
        <w:tab/>
        <w:t>Impact Process</w:t>
      </w:r>
      <w:r w:rsidRPr="00FB19CE">
        <w:rPr>
          <w:b/>
          <w:bCs/>
        </w:rPr>
        <w:tab/>
        <w:t xml:space="preserve">EO impact and process evaluation </w:t>
      </w:r>
      <w:r w:rsidRPr="00FB19CE">
        <w:rPr>
          <w:b/>
          <w:bCs/>
        </w:rPr>
        <w:tab/>
      </w:r>
    </w:p>
    <w:p w14:paraId="31720E8D" w14:textId="77777777" w:rsidR="0060253C" w:rsidRDefault="0060253C" w:rsidP="0060253C">
      <w:r>
        <w:t xml:space="preserve">Outputs: Ex post savings estimates for EO program and key measures; assessment of program efficiency and customer satisfaction. </w:t>
      </w:r>
      <w:r>
        <w:tab/>
      </w:r>
    </w:p>
    <w:p w14:paraId="7FA4F88E" w14:textId="3DBE21E2" w:rsidR="0060253C" w:rsidRDefault="0060253C" w:rsidP="0060253C">
      <w:r>
        <w:t xml:space="preserve">Description: This is a periodic study to update the EO RR and NTG values last estimated for PY 2016-17. Key measure RRs and NTG will be estimated depending on data availability. While the program's impacts are the primary focus, processes including investigation of select/topical issues surrounding customer satisfaction, equity, program efficiency, progress towards goals, and coordination with other C&amp;I programs will also be investigated. The data for the study will come </w:t>
      </w:r>
      <w:r w:rsidR="004C20FC">
        <w:t>from onsite</w:t>
      </w:r>
      <w:r>
        <w:t xml:space="preserve"> visits, surveys, and interviews. Metering of new or changing measures such as lighting controls, heat pumps will be considered.  To meet ISO, the study will start in the 3rd year of the period, and complete in the first year of the next Plan.  Only half the Budget and Start Year: $1.1 million budget is included in this period</w:t>
      </w:r>
      <w:r w:rsidR="004C20FC">
        <w:t>, with the rest being incorporated into the 2025-27 Evaluation Plan.</w:t>
      </w:r>
      <w:r>
        <w:tab/>
      </w:r>
    </w:p>
    <w:p w14:paraId="76E06EC5" w14:textId="77777777" w:rsidR="0060253C" w:rsidRDefault="0060253C" w:rsidP="0060253C">
      <w:r>
        <w:t>Budget and Start Year: $1,100</w:t>
      </w:r>
      <w:r>
        <w:tab/>
        <w:t>2024</w:t>
      </w:r>
    </w:p>
    <w:p w14:paraId="1B068044" w14:textId="77777777" w:rsidR="0060253C" w:rsidRDefault="0060253C" w:rsidP="0060253C"/>
    <w:p w14:paraId="63737E8D" w14:textId="77777777" w:rsidR="0060253C" w:rsidRPr="00FB19CE" w:rsidRDefault="0060253C" w:rsidP="0060253C">
      <w:pPr>
        <w:rPr>
          <w:b/>
          <w:bCs/>
        </w:rPr>
      </w:pPr>
      <w:r w:rsidRPr="00FB19CE">
        <w:rPr>
          <w:b/>
          <w:bCs/>
        </w:rPr>
        <w:t>C2217</w:t>
      </w:r>
      <w:r w:rsidRPr="00FB19CE">
        <w:rPr>
          <w:b/>
          <w:bCs/>
        </w:rPr>
        <w:tab/>
        <w:t>DG</w:t>
      </w:r>
      <w:r w:rsidRPr="00FB19CE">
        <w:rPr>
          <w:b/>
          <w:bCs/>
        </w:rPr>
        <w:tab/>
        <w:t>Impact Process</w:t>
      </w:r>
      <w:r w:rsidRPr="00FB19CE">
        <w:rPr>
          <w:b/>
          <w:bCs/>
        </w:rPr>
        <w:tab/>
        <w:t>SBEA impact and process evaluation</w:t>
      </w:r>
      <w:r w:rsidRPr="00FB19CE">
        <w:rPr>
          <w:b/>
          <w:bCs/>
        </w:rPr>
        <w:tab/>
      </w:r>
    </w:p>
    <w:p w14:paraId="60CADCDC" w14:textId="77777777" w:rsidR="0060253C" w:rsidRDefault="0060253C" w:rsidP="0060253C">
      <w:r>
        <w:t xml:space="preserve">Outputs: Process evaluation (assessment of program efficiency, customer satisfaction, gap analysis, equity); ex post savings estimates for SBEA program and its key measures; </w:t>
      </w:r>
      <w:r>
        <w:tab/>
      </w:r>
    </w:p>
    <w:p w14:paraId="6187C481" w14:textId="63850160" w:rsidR="0060253C" w:rsidRDefault="0060253C" w:rsidP="0060253C">
      <w:r>
        <w:t xml:space="preserve">Description: This is a periodic study to update the SBEA RR and NTG values last estimated for PY 2013-15. Key measure RRs and NTG will be estimated depending on data availability. Program processes including investigation of select/topical issues surrounding customer satisfaction, equity, program efficiency, progress towards goals, and coordination with other C&amp;I programs will also be investigated. Data collection activities include </w:t>
      </w:r>
      <w:r w:rsidR="004C20FC">
        <w:t>on-site</w:t>
      </w:r>
      <w:r>
        <w:t xml:space="preserve"> visits, surveys, interviews. Any metering will be limited to select new or changing measures such as lighting controls or heat pump installations. </w:t>
      </w:r>
      <w:r>
        <w:tab/>
      </w:r>
    </w:p>
    <w:p w14:paraId="308A67E0" w14:textId="77777777" w:rsidR="0060253C" w:rsidRDefault="0060253C" w:rsidP="0060253C">
      <w:r>
        <w:t>Budget and Start Year: $450</w:t>
      </w:r>
      <w:r>
        <w:tab/>
        <w:t>2022</w:t>
      </w:r>
    </w:p>
    <w:p w14:paraId="48BFBC24" w14:textId="77777777" w:rsidR="0060253C" w:rsidRDefault="0060253C" w:rsidP="0060253C"/>
    <w:p w14:paraId="7EA17AA7" w14:textId="77777777" w:rsidR="0060253C" w:rsidRPr="00FB19CE" w:rsidRDefault="0060253C" w:rsidP="0060253C">
      <w:pPr>
        <w:rPr>
          <w:b/>
          <w:bCs/>
        </w:rPr>
      </w:pPr>
      <w:r w:rsidRPr="00FB19CE">
        <w:rPr>
          <w:b/>
          <w:bCs/>
        </w:rPr>
        <w:t>R2218</w:t>
      </w:r>
      <w:r w:rsidRPr="00FB19CE">
        <w:rPr>
          <w:b/>
          <w:bCs/>
        </w:rPr>
        <w:tab/>
        <w:t>RW</w:t>
      </w:r>
      <w:r w:rsidRPr="00FB19CE">
        <w:rPr>
          <w:b/>
          <w:bCs/>
        </w:rPr>
        <w:tab/>
        <w:t>Impact Process</w:t>
      </w:r>
      <w:r w:rsidRPr="00FB19CE">
        <w:rPr>
          <w:b/>
          <w:bCs/>
        </w:rPr>
        <w:tab/>
        <w:t>Process and Impact Evaluation of HES and HES-IE SF and MF</w:t>
      </w:r>
      <w:r w:rsidRPr="00FB19CE">
        <w:rPr>
          <w:b/>
          <w:bCs/>
        </w:rPr>
        <w:tab/>
      </w:r>
    </w:p>
    <w:p w14:paraId="13EB671C" w14:textId="77777777" w:rsidR="0060253C" w:rsidRDefault="0060253C" w:rsidP="0060253C">
      <w:r>
        <w:t>Outputs: Recommendations for program delivery and new areas to develop with loss of lighting.</w:t>
      </w:r>
      <w:r>
        <w:tab/>
      </w:r>
    </w:p>
    <w:p w14:paraId="48DF5C30" w14:textId="77777777" w:rsidR="0060253C" w:rsidRDefault="0060253C" w:rsidP="0060253C">
      <w:r>
        <w:t xml:space="preserve">Description: Impact evaluations of MF and SF programs were just completed or are just being completed. The results will help focus process investigations on deeper dives into specific impact inquiries.  If current report does not specifically look at regressions aimed at separating out savings from air sealing vs duct sealing; then this should be done as a follow up study. Similarly, if current report does not include vendor specific Process studies should include program delivery and issues identified in forthcoming HES impact study.  There are clear links to other studies including:  weatherization barriers, equity studies, MF air infiltration.   </w:t>
      </w:r>
      <w:r>
        <w:tab/>
      </w:r>
    </w:p>
    <w:p w14:paraId="3BE06E10" w14:textId="77777777" w:rsidR="0060253C" w:rsidRDefault="0060253C" w:rsidP="0060253C">
      <w:r>
        <w:t>Budget and Start Year: $600</w:t>
      </w:r>
      <w:r>
        <w:tab/>
        <w:t>2022</w:t>
      </w:r>
    </w:p>
    <w:p w14:paraId="2BEB2060" w14:textId="77777777" w:rsidR="0060253C" w:rsidRDefault="0060253C" w:rsidP="0060253C"/>
    <w:p w14:paraId="7645BE11" w14:textId="77777777" w:rsidR="0060253C" w:rsidRPr="00FB19CE" w:rsidRDefault="0060253C" w:rsidP="0060253C">
      <w:pPr>
        <w:rPr>
          <w:b/>
          <w:bCs/>
        </w:rPr>
      </w:pPr>
      <w:r w:rsidRPr="00FB19CE">
        <w:rPr>
          <w:b/>
          <w:bCs/>
        </w:rPr>
        <w:t>R2219</w:t>
      </w:r>
      <w:r w:rsidRPr="00FB19CE">
        <w:rPr>
          <w:b/>
          <w:bCs/>
        </w:rPr>
        <w:tab/>
        <w:t>RW</w:t>
      </w:r>
      <w:r w:rsidRPr="00FB19CE">
        <w:rPr>
          <w:b/>
          <w:bCs/>
        </w:rPr>
        <w:tab/>
        <w:t>Impact Process</w:t>
      </w:r>
      <w:r w:rsidRPr="00FB19CE">
        <w:rPr>
          <w:b/>
          <w:bCs/>
        </w:rPr>
        <w:tab/>
        <w:t>HVAC &amp; DHW (upstream) program Impact &amp; Process evaluations</w:t>
      </w:r>
    </w:p>
    <w:p w14:paraId="6C997F0B" w14:textId="1411484B" w:rsidR="0060253C" w:rsidRDefault="0060253C" w:rsidP="0060253C">
      <w:r>
        <w:t xml:space="preserve">Outputs: </w:t>
      </w:r>
      <w:r w:rsidR="004C20FC">
        <w:t>Saving,</w:t>
      </w:r>
      <w:r>
        <w:t xml:space="preserve"> NTG, and process recommendations</w:t>
      </w:r>
      <w:r>
        <w:tab/>
      </w:r>
    </w:p>
    <w:p w14:paraId="57ABC65A" w14:textId="3C0090B5" w:rsidR="0060253C" w:rsidRDefault="0060253C" w:rsidP="0060253C">
      <w:r>
        <w:t xml:space="preserve">Description: This includes process and NTG study of upstream programs.  </w:t>
      </w:r>
      <w:r w:rsidR="004C20FC">
        <w:t>Process component</w:t>
      </w:r>
      <w:r>
        <w:t xml:space="preserve"> will assess if mid-upstream approach is a good fit for these measures. Will also cover any impact of program components.  Much of this work may overlap with HP studies and emphasis may shift to non-HP measures if there are any, or not be necessary.</w:t>
      </w:r>
      <w:r>
        <w:tab/>
      </w:r>
    </w:p>
    <w:p w14:paraId="73E54030" w14:textId="77777777" w:rsidR="0060253C" w:rsidRDefault="0060253C" w:rsidP="0060253C">
      <w:r>
        <w:t>Budget and Start Year: $300</w:t>
      </w:r>
      <w:r>
        <w:tab/>
        <w:t>2024</w:t>
      </w:r>
    </w:p>
    <w:p w14:paraId="3CDC54F1" w14:textId="77777777" w:rsidR="0060253C" w:rsidRDefault="0060253C" w:rsidP="0060253C"/>
    <w:p w14:paraId="6BB383C8" w14:textId="77777777" w:rsidR="0060253C" w:rsidRDefault="0060253C" w:rsidP="0060253C">
      <w:pPr>
        <w:pStyle w:val="Heading2"/>
      </w:pPr>
      <w:bookmarkStart w:id="17" w:name="_Toc90010651"/>
      <w:bookmarkStart w:id="18" w:name="_Toc90618557"/>
      <w:r>
        <w:t>4.3 Process Evaluations (2220-2224)</w:t>
      </w:r>
      <w:bookmarkEnd w:id="17"/>
      <w:bookmarkEnd w:id="18"/>
    </w:p>
    <w:p w14:paraId="60D36E84" w14:textId="7DF25376" w:rsidR="0060253C" w:rsidRDefault="0060253C" w:rsidP="0060253C"/>
    <w:p w14:paraId="3BDF05DF" w14:textId="77777777" w:rsidR="0060253C" w:rsidRPr="004A3991" w:rsidRDefault="0060253C" w:rsidP="0060253C">
      <w:pPr>
        <w:rPr>
          <w:b/>
          <w:bCs/>
        </w:rPr>
      </w:pPr>
      <w:r w:rsidRPr="004A3991">
        <w:rPr>
          <w:b/>
          <w:bCs/>
        </w:rPr>
        <w:t>R2220</w:t>
      </w:r>
      <w:r w:rsidRPr="004A3991">
        <w:rPr>
          <w:b/>
          <w:bCs/>
        </w:rPr>
        <w:tab/>
        <w:t>LAS</w:t>
      </w:r>
      <w:r w:rsidRPr="004A3991">
        <w:rPr>
          <w:b/>
          <w:bCs/>
        </w:rPr>
        <w:tab/>
        <w:t>Process</w:t>
      </w:r>
      <w:r w:rsidRPr="004A3991">
        <w:rPr>
          <w:b/>
          <w:bCs/>
        </w:rPr>
        <w:tab/>
        <w:t>Behavioral Program Process Evaluation</w:t>
      </w:r>
      <w:r w:rsidRPr="004A3991">
        <w:rPr>
          <w:b/>
          <w:bCs/>
        </w:rPr>
        <w:tab/>
      </w:r>
    </w:p>
    <w:p w14:paraId="3B4AD01A" w14:textId="77777777" w:rsidR="0060253C" w:rsidRPr="0060253C" w:rsidRDefault="0060253C" w:rsidP="0060253C">
      <w:r w:rsidRPr="0060253C">
        <w:t xml:space="preserve">Outputs: Process evaluation of early stages of recently-launched behavioral program to provide early feedback to refine program delivery, identify gaps and improvements.  </w:t>
      </w:r>
    </w:p>
    <w:p w14:paraId="401E5488" w14:textId="77777777" w:rsidR="0060253C" w:rsidRPr="0060253C" w:rsidRDefault="0060253C" w:rsidP="0060253C">
      <w:r w:rsidRPr="0060253C">
        <w:t>Description: Use quarterly surveys of samples of participants to support early identification of issues.</w:t>
      </w:r>
      <w:r w:rsidRPr="0060253C">
        <w:tab/>
        <w:t>Process evaluation involving interviews with staff, participant surveys, and review of materials / data.  Process evaluation of the program helps identify early-stage corrections, improvements, barriers to improve program delivery and effectiveness.  Program covers both gas and electric customers (22K gas, 130K electric at ES when launched 1/21).  Recommending possibly quarterly survey approach to allow continuous improvement in early stages.  Assumes effort in 2022 (1 year after program launch) and smaller effort 2 years later to review performance after program refinements.</w:t>
      </w:r>
      <w:r w:rsidRPr="0060253C">
        <w:tab/>
      </w:r>
    </w:p>
    <w:p w14:paraId="669DAC23" w14:textId="49E1A689" w:rsidR="0060253C" w:rsidRPr="0060253C" w:rsidRDefault="0060253C" w:rsidP="0060253C">
      <w:r w:rsidRPr="0060253C">
        <w:t>Budget:  $175K</w:t>
      </w:r>
    </w:p>
    <w:p w14:paraId="70BEBE38" w14:textId="77777777" w:rsidR="0060253C" w:rsidRPr="004A3991" w:rsidRDefault="0060253C" w:rsidP="0060253C"/>
    <w:p w14:paraId="1EABBFB4" w14:textId="77777777" w:rsidR="0060253C" w:rsidRPr="00432502" w:rsidRDefault="0060253C" w:rsidP="0060253C">
      <w:pPr>
        <w:rPr>
          <w:b/>
          <w:bCs/>
        </w:rPr>
      </w:pPr>
      <w:r w:rsidRPr="00432502">
        <w:rPr>
          <w:b/>
          <w:bCs/>
        </w:rPr>
        <w:t>R2221</w:t>
      </w:r>
      <w:r w:rsidRPr="00432502">
        <w:rPr>
          <w:b/>
          <w:bCs/>
        </w:rPr>
        <w:tab/>
        <w:t>LAS</w:t>
      </w:r>
      <w:r w:rsidRPr="00432502">
        <w:rPr>
          <w:b/>
          <w:bCs/>
        </w:rPr>
        <w:tab/>
        <w:t>Process</w:t>
      </w:r>
      <w:r w:rsidRPr="00432502">
        <w:rPr>
          <w:b/>
          <w:bCs/>
        </w:rPr>
        <w:tab/>
        <w:t>Concierge Programs - Opportunities, Performance, and Best Practices</w:t>
      </w:r>
      <w:r w:rsidRPr="00432502">
        <w:rPr>
          <w:b/>
          <w:bCs/>
        </w:rPr>
        <w:tab/>
      </w:r>
    </w:p>
    <w:p w14:paraId="3DE6182F" w14:textId="77777777" w:rsidR="0060253C" w:rsidRDefault="0060253C" w:rsidP="0060253C">
      <w:r>
        <w:t>Outputs: Identify best practices, effective delivery, program potential, and if possible, savings ranges for the planned "virtual web-based" concierge services enhancement to HES &amp; IE core services program.</w:t>
      </w:r>
    </w:p>
    <w:p w14:paraId="3F3A9AF7" w14:textId="77777777" w:rsidR="0060253C" w:rsidRDefault="0060253C" w:rsidP="0060253C">
      <w:r>
        <w:t>Description: Identify best practices, effective delivery, program potential, and if possible, savings ranges for the planned "virtual web-based" concierge services enhancement to HES &amp; IE that follows-up on core services program participants to encourage installation of recommended insulation and HVAC measures.  Study should provide advice on best and most effective delivery approaches to encourage installation of deeper measures, and leave fewer recommendations "on the table".  Study should review barriers analysis and other findings from HES / HES-IE and weatherization barriers studies, in addition to the in-depth analyses of existing programs in other states.</w:t>
      </w:r>
      <w:r>
        <w:tab/>
      </w:r>
    </w:p>
    <w:p w14:paraId="4657D20B" w14:textId="77777777" w:rsidR="0060253C" w:rsidRDefault="0060253C" w:rsidP="0060253C">
      <w:r>
        <w:t>Budget and Start Year: $125</w:t>
      </w:r>
      <w:r>
        <w:tab/>
        <w:t>2022</w:t>
      </w:r>
    </w:p>
    <w:p w14:paraId="3221C172" w14:textId="77777777" w:rsidR="0060253C" w:rsidRDefault="0060253C" w:rsidP="0060253C"/>
    <w:p w14:paraId="5406F6E6" w14:textId="77777777" w:rsidR="0060253C" w:rsidRPr="00AC6496" w:rsidRDefault="0060253C" w:rsidP="0060253C">
      <w:pPr>
        <w:rPr>
          <w:b/>
          <w:bCs/>
        </w:rPr>
      </w:pPr>
      <w:r w:rsidRPr="00AC6496">
        <w:rPr>
          <w:b/>
          <w:bCs/>
        </w:rPr>
        <w:t>R2222</w:t>
      </w:r>
      <w:r w:rsidRPr="00AC6496">
        <w:rPr>
          <w:b/>
          <w:bCs/>
        </w:rPr>
        <w:tab/>
        <w:t>RW</w:t>
      </w:r>
      <w:r w:rsidRPr="00AC6496">
        <w:rPr>
          <w:b/>
          <w:bCs/>
        </w:rPr>
        <w:tab/>
        <w:t>Process</w:t>
      </w:r>
      <w:r w:rsidRPr="00AC6496">
        <w:rPr>
          <w:b/>
          <w:bCs/>
        </w:rPr>
        <w:tab/>
        <w:t>Increasing Market for Renovation and Additions Projects</w:t>
      </w:r>
    </w:p>
    <w:p w14:paraId="2A3AB025" w14:textId="77777777" w:rsidR="0060253C" w:rsidRDefault="0060253C" w:rsidP="0060253C">
      <w:r>
        <w:t>Outputs: Recommendations for refining program and savings estimates, and promoting greater participation and savings per project</w:t>
      </w:r>
      <w:r>
        <w:tab/>
      </w:r>
    </w:p>
    <w:p w14:paraId="28844612" w14:textId="77777777" w:rsidR="0060253C" w:rsidRDefault="0060253C" w:rsidP="0060253C">
      <w:r>
        <w:t xml:space="preserve">Description: The recent study indicated that there is a large technical potential for savings in the R&amp;A market.  The project will review baseline and other data to refine baselines and estimates of actual potential in the current market.  This project will also explore market to determine strategies that can be used to increase program interest and to increase level of savings in each project.  This involves study at both ends of current marketplace, both projects pushing deep retrofits, and the much more common projects where there is little or no focus on energy savings.  This should include analysis of cost-effectiveness of paying incremental cost of triple-paned or other advanced window measures.  Given the market potential and the possible market effects that the program could generate, the study includes additional market/process study components that will establish a market baseline in year 1 and conduct a follow-up market assessment in year 3.  </w:t>
      </w:r>
      <w:r>
        <w:tab/>
      </w:r>
    </w:p>
    <w:p w14:paraId="7580F714" w14:textId="77777777" w:rsidR="0060253C" w:rsidRDefault="0060253C" w:rsidP="0060253C">
      <w:r>
        <w:t>Budget and Start Year: $600</w:t>
      </w:r>
      <w:r>
        <w:tab/>
        <w:t>2022</w:t>
      </w:r>
    </w:p>
    <w:p w14:paraId="6F93B299" w14:textId="77777777" w:rsidR="0060253C" w:rsidRDefault="0060253C" w:rsidP="0060253C"/>
    <w:p w14:paraId="10378CFF" w14:textId="77777777" w:rsidR="0060253C" w:rsidRPr="006D4E67" w:rsidRDefault="0060253C" w:rsidP="0060253C">
      <w:pPr>
        <w:rPr>
          <w:b/>
          <w:bCs/>
        </w:rPr>
      </w:pPr>
      <w:r w:rsidRPr="006D4E67">
        <w:rPr>
          <w:b/>
          <w:bCs/>
        </w:rPr>
        <w:t>X2223</w:t>
      </w:r>
      <w:r w:rsidRPr="006D4E67">
        <w:rPr>
          <w:b/>
          <w:bCs/>
        </w:rPr>
        <w:tab/>
        <w:t>LAS</w:t>
      </w:r>
      <w:r w:rsidRPr="006D4E67">
        <w:rPr>
          <w:b/>
          <w:bCs/>
        </w:rPr>
        <w:tab/>
        <w:t>Process</w:t>
      </w:r>
      <w:r w:rsidRPr="006D4E67">
        <w:rPr>
          <w:b/>
          <w:bCs/>
        </w:rPr>
        <w:tab/>
        <w:t>Res &amp; Commercial Financing - Process Evaluation</w:t>
      </w:r>
      <w:r w:rsidRPr="006D4E67">
        <w:rPr>
          <w:b/>
          <w:bCs/>
        </w:rPr>
        <w:tab/>
      </w:r>
    </w:p>
    <w:p w14:paraId="3E28DE64" w14:textId="77777777" w:rsidR="0060253C" w:rsidRDefault="0060253C" w:rsidP="0060253C">
      <w:r>
        <w:t>Outputs: Process evaluation of financing initiatives to identify barriers / improvements, and impacts / uptake by vulnerable vs. other customers (residential and commercial).</w:t>
      </w:r>
      <w:r>
        <w:tab/>
      </w:r>
    </w:p>
    <w:p w14:paraId="40E86E4E" w14:textId="77777777" w:rsidR="0060253C" w:rsidRDefault="0060253C" w:rsidP="0060253C">
      <w:r>
        <w:t>Description: Process evaluation of financing initiatives using customer surveys and review of initiatives in other states.  Interview other states / utilities for latest thinking on financing initiatives.  Conduct surveys with participants using - and not using -- financing options available for residential and commercial financing options - and identify potential for uptake of any new initiatives identified in SME interviews.  Identify patterns of impacts on vulnerable / sensitive customers relative to others.  Identify barriers, recommended refinements or revamping of these options.</w:t>
      </w:r>
      <w:r>
        <w:tab/>
      </w:r>
    </w:p>
    <w:p w14:paraId="2FDC8738" w14:textId="77777777" w:rsidR="0060253C" w:rsidRDefault="0060253C" w:rsidP="0060253C">
      <w:r>
        <w:t>Budget and Start Year: $225</w:t>
      </w:r>
      <w:r>
        <w:tab/>
        <w:t>2022</w:t>
      </w:r>
    </w:p>
    <w:p w14:paraId="3A3C43DD" w14:textId="77777777" w:rsidR="0060253C" w:rsidRDefault="0060253C" w:rsidP="0060253C"/>
    <w:p w14:paraId="35044AEE" w14:textId="77777777" w:rsidR="0060253C" w:rsidRPr="006D4E67" w:rsidRDefault="0060253C" w:rsidP="0060253C">
      <w:pPr>
        <w:rPr>
          <w:b/>
          <w:bCs/>
        </w:rPr>
      </w:pPr>
      <w:r w:rsidRPr="006D4E67">
        <w:rPr>
          <w:b/>
          <w:bCs/>
        </w:rPr>
        <w:t>X2224</w:t>
      </w:r>
      <w:r w:rsidRPr="006D4E67">
        <w:rPr>
          <w:b/>
          <w:bCs/>
        </w:rPr>
        <w:tab/>
        <w:t>RW LAS</w:t>
      </w:r>
      <w:r w:rsidRPr="006D4E67">
        <w:rPr>
          <w:b/>
          <w:bCs/>
        </w:rPr>
        <w:tab/>
        <w:t xml:space="preserve">Process </w:t>
      </w:r>
      <w:r w:rsidRPr="006D4E67">
        <w:rPr>
          <w:b/>
          <w:bCs/>
        </w:rPr>
        <w:tab/>
        <w:t>Workforce process evaluation on updated initiative</w:t>
      </w:r>
      <w:r w:rsidRPr="006D4E67">
        <w:rPr>
          <w:b/>
          <w:bCs/>
        </w:rPr>
        <w:tab/>
      </w:r>
    </w:p>
    <w:p w14:paraId="00BB578B" w14:textId="77777777" w:rsidR="0060253C" w:rsidRDefault="0060253C" w:rsidP="0060253C">
      <w:r>
        <w:t>Outputs: Process evaluation of selected revised workforce initiative(s) to assess effectiveness of delivery of the program.</w:t>
      </w:r>
      <w:r>
        <w:tab/>
      </w:r>
    </w:p>
    <w:p w14:paraId="2E1A2320" w14:textId="77777777" w:rsidR="0060253C" w:rsidRDefault="0060253C" w:rsidP="0060253C">
      <w:r>
        <w:t>Description: Process evaluation of a targeted, revised workforce (or engagement) program to determine if updated design is delivering an improved experience and if the metrics for performance represent improvements and a strong program.  Include recommendations for continued improvements.</w:t>
      </w:r>
      <w:r>
        <w:tab/>
      </w:r>
    </w:p>
    <w:p w14:paraId="3BC23BDF" w14:textId="77777777" w:rsidR="0060253C" w:rsidRDefault="0060253C" w:rsidP="0060253C">
      <w:r>
        <w:t>Budget and Start Year: $150</w:t>
      </w:r>
      <w:r>
        <w:tab/>
        <w:t>2023</w:t>
      </w:r>
    </w:p>
    <w:p w14:paraId="257FB6AA" w14:textId="77777777" w:rsidR="0060253C" w:rsidRDefault="0060253C" w:rsidP="0060253C"/>
    <w:p w14:paraId="2F8F4F0E" w14:textId="5B50144F" w:rsidR="0060253C" w:rsidRDefault="0060253C" w:rsidP="0060253C">
      <w:pPr>
        <w:pStyle w:val="Heading2"/>
      </w:pPr>
      <w:bookmarkStart w:id="19" w:name="_Toc90010652"/>
      <w:bookmarkStart w:id="20" w:name="_Toc90618558"/>
      <w:r>
        <w:t>4.4 PSD Studies (2225-</w:t>
      </w:r>
      <w:bookmarkEnd w:id="19"/>
      <w:r w:rsidR="004C20FC">
        <w:t>2229)</w:t>
      </w:r>
      <w:bookmarkEnd w:id="20"/>
      <w:r>
        <w:t xml:space="preserve">  </w:t>
      </w:r>
    </w:p>
    <w:p w14:paraId="27D8A7E0" w14:textId="77777777" w:rsidR="0060253C" w:rsidRDefault="0060253C" w:rsidP="0060253C"/>
    <w:p w14:paraId="3DAD0368" w14:textId="77777777" w:rsidR="0060253C" w:rsidRPr="006D4E67" w:rsidRDefault="0060253C" w:rsidP="0060253C">
      <w:pPr>
        <w:rPr>
          <w:b/>
          <w:bCs/>
        </w:rPr>
      </w:pPr>
      <w:r w:rsidRPr="006D4E67">
        <w:rPr>
          <w:b/>
          <w:bCs/>
        </w:rPr>
        <w:t>X2225</w:t>
      </w:r>
      <w:r w:rsidRPr="006D4E67">
        <w:rPr>
          <w:b/>
          <w:bCs/>
        </w:rPr>
        <w:tab/>
        <w:t>RW</w:t>
      </w:r>
      <w:r w:rsidRPr="006D4E67">
        <w:rPr>
          <w:b/>
          <w:bCs/>
        </w:rPr>
        <w:tab/>
        <w:t>PSD</w:t>
      </w:r>
      <w:r w:rsidRPr="006D4E67">
        <w:rPr>
          <w:b/>
          <w:bCs/>
        </w:rPr>
        <w:tab/>
        <w:t>Infiltration Reduction in Multifamily Buildings</w:t>
      </w:r>
      <w:r w:rsidRPr="006D4E67">
        <w:rPr>
          <w:b/>
          <w:bCs/>
        </w:rPr>
        <w:tab/>
      </w:r>
    </w:p>
    <w:p w14:paraId="31688E1D" w14:textId="77777777" w:rsidR="0060253C" w:rsidRDefault="0060253C" w:rsidP="0060253C">
      <w:r>
        <w:t xml:space="preserve">Outputs: Estimation of potential savings from MF buildings. Methods and level of effort that are cost-effective to pursue. </w:t>
      </w:r>
      <w:r>
        <w:tab/>
      </w:r>
    </w:p>
    <w:p w14:paraId="1320C681" w14:textId="4EEAC6EA" w:rsidR="0060253C" w:rsidRDefault="0060253C" w:rsidP="0060253C">
      <w:r>
        <w:t xml:space="preserve">Description: This is one of the largest opportunities remaining in the MF sector, however, there is little consistency across contractors in effort level, methods employed or in calculating savings.  Through ride-alongs, evaluators will examine closely activities that are included in existing infiltration projects to determine the types of activities included in a MF air sealing job. Project will compile tables of typical activities with recommendations for energy savings for both in unit and common areas, including basements and attic spaces.    </w:t>
      </w:r>
      <w:r w:rsidR="004C20FC">
        <w:t>The r</w:t>
      </w:r>
      <w:r>
        <w:t>eport will work with contractors and program implementers to provide recommendations on tests to be done in each building, level of effort to be performed at each building, and energy savings associated with each project. This project is a strong candidate for a regional study, and the budget and timing are based on a joint study with MA or regionally, to control costs and provide the strongest results</w:t>
      </w:r>
      <w:r w:rsidR="004C20FC">
        <w:t>.</w:t>
      </w:r>
      <w:r>
        <w:tab/>
      </w:r>
    </w:p>
    <w:p w14:paraId="6B6BFFC7" w14:textId="77777777" w:rsidR="0060253C" w:rsidRDefault="0060253C" w:rsidP="0060253C">
      <w:r>
        <w:t>Budget and Start Year: $250</w:t>
      </w:r>
      <w:r>
        <w:tab/>
        <w:t>2022</w:t>
      </w:r>
    </w:p>
    <w:p w14:paraId="294068FC" w14:textId="77777777" w:rsidR="0060253C" w:rsidRDefault="0060253C" w:rsidP="0060253C"/>
    <w:p w14:paraId="27085068" w14:textId="77777777" w:rsidR="0060253C" w:rsidRPr="007D1B71" w:rsidRDefault="0060253C" w:rsidP="0060253C">
      <w:pPr>
        <w:rPr>
          <w:b/>
          <w:bCs/>
        </w:rPr>
      </w:pPr>
      <w:r w:rsidRPr="007D1B71">
        <w:rPr>
          <w:b/>
          <w:bCs/>
        </w:rPr>
        <w:t>X2226</w:t>
      </w:r>
      <w:r w:rsidRPr="007D1B71">
        <w:rPr>
          <w:b/>
          <w:bCs/>
        </w:rPr>
        <w:tab/>
        <w:t>LAS</w:t>
      </w:r>
      <w:r w:rsidRPr="007D1B71">
        <w:rPr>
          <w:b/>
          <w:bCs/>
        </w:rPr>
        <w:tab/>
        <w:t>PSD</w:t>
      </w:r>
      <w:r w:rsidRPr="007D1B71">
        <w:rPr>
          <w:b/>
          <w:bCs/>
        </w:rPr>
        <w:tab/>
        <w:t>EULs-Measure Lifetimes / AML Evaluation Study</w:t>
      </w:r>
    </w:p>
    <w:p w14:paraId="05017CDA" w14:textId="77777777" w:rsidR="0060253C" w:rsidRDefault="0060253C" w:rsidP="0060253C">
      <w:r>
        <w:t>Outputs: Develop EULs and adjusted Measure Lifetimes for additional priority measures not covered under X2001.  Focus on measures affected by market condition (AMLs) and potentially small commercial measures.</w:t>
      </w:r>
      <w:r>
        <w:tab/>
      </w:r>
    </w:p>
    <w:p w14:paraId="251F6D38" w14:textId="77777777" w:rsidR="0060253C" w:rsidRDefault="0060253C" w:rsidP="0060253C">
      <w:r>
        <w:t>Description: Conduct primary research to update TRM EUL values, with a focus on priority small commercial measures and on developing AMLs for key residential and commercial measures affected by market conditions / mature markets to assure the values in the TRM reflect appropriate lifetimes.  Confirm best practices for estimating EULs and recommended update practices / cadence.</w:t>
      </w:r>
      <w:r>
        <w:tab/>
      </w:r>
    </w:p>
    <w:p w14:paraId="41ADD5C2" w14:textId="77777777" w:rsidR="0060253C" w:rsidRDefault="0060253C" w:rsidP="0060253C">
      <w:r>
        <w:t>Budget and Start Year: $250</w:t>
      </w:r>
      <w:r>
        <w:tab/>
        <w:t>2022</w:t>
      </w:r>
    </w:p>
    <w:p w14:paraId="44EE5A34" w14:textId="77777777" w:rsidR="0060253C" w:rsidRDefault="0060253C" w:rsidP="0060253C"/>
    <w:p w14:paraId="070757DB" w14:textId="77777777" w:rsidR="0060253C" w:rsidRPr="00AC6496" w:rsidRDefault="0060253C" w:rsidP="0060253C">
      <w:pPr>
        <w:rPr>
          <w:b/>
          <w:bCs/>
        </w:rPr>
      </w:pPr>
      <w:r w:rsidRPr="00AC6496">
        <w:rPr>
          <w:b/>
          <w:bCs/>
        </w:rPr>
        <w:t>X2227</w:t>
      </w:r>
      <w:r w:rsidRPr="00AC6496">
        <w:rPr>
          <w:b/>
          <w:bCs/>
        </w:rPr>
        <w:tab/>
        <w:t>LAS</w:t>
      </w:r>
      <w:r w:rsidRPr="00AC6496">
        <w:rPr>
          <w:b/>
          <w:bCs/>
        </w:rPr>
        <w:tab/>
        <w:t>PSD</w:t>
      </w:r>
      <w:r w:rsidRPr="00AC6496">
        <w:rPr>
          <w:b/>
          <w:bCs/>
        </w:rPr>
        <w:tab/>
        <w:t>Potential "Next Measures" - Residential &amp; Commercial</w:t>
      </w:r>
      <w:r w:rsidRPr="00AC6496">
        <w:rPr>
          <w:b/>
          <w:bCs/>
        </w:rPr>
        <w:tab/>
      </w:r>
    </w:p>
    <w:p w14:paraId="3FC233AA" w14:textId="77777777" w:rsidR="0060253C" w:rsidRDefault="0060253C" w:rsidP="0060253C">
      <w:r>
        <w:t>Outputs: Conduct a study of "next measures" for in-depth review and consideration for programs (beyond HP, to replace lighting), including potential, performance elsewhere, suitability to CT.  If possible, identify key TRM parameters.</w:t>
      </w:r>
      <w:r>
        <w:tab/>
      </w:r>
    </w:p>
    <w:p w14:paraId="1844E910" w14:textId="77777777" w:rsidR="0060253C" w:rsidRDefault="0060253C" w:rsidP="0060253C">
      <w:r>
        <w:t xml:space="preserve">Description: Conduct an in-depth review of "emerging" residential and commercial measures, from programs elsewhere, technology review, and other sources.  Review the quality of information available on savings potential, level of savings delivered in potential studies conducted in other areas, suitability to CT, and other factors affecting consideration for inclusion in CT programs and TRM.  </w:t>
      </w:r>
      <w:r>
        <w:tab/>
      </w:r>
    </w:p>
    <w:p w14:paraId="26ADB84C" w14:textId="089F2D56" w:rsidR="0060253C" w:rsidRDefault="0060253C" w:rsidP="0060253C">
      <w:r>
        <w:t xml:space="preserve">Budget and Start Year: $100 </w:t>
      </w:r>
      <w:r>
        <w:tab/>
        <w:t>2022</w:t>
      </w:r>
    </w:p>
    <w:p w14:paraId="5D9AEFCB" w14:textId="77777777" w:rsidR="004C20FC" w:rsidRDefault="004C20FC" w:rsidP="0060253C"/>
    <w:p w14:paraId="37F0BD33" w14:textId="77777777" w:rsidR="0060253C" w:rsidRPr="00AC6496" w:rsidRDefault="0060253C" w:rsidP="0060253C">
      <w:pPr>
        <w:rPr>
          <w:b/>
          <w:bCs/>
        </w:rPr>
      </w:pPr>
      <w:r w:rsidRPr="00AC6496">
        <w:rPr>
          <w:b/>
          <w:bCs/>
        </w:rPr>
        <w:t>X2229</w:t>
      </w:r>
      <w:r w:rsidRPr="00AC6496">
        <w:rPr>
          <w:b/>
          <w:bCs/>
        </w:rPr>
        <w:tab/>
        <w:t>PJ</w:t>
      </w:r>
      <w:r w:rsidRPr="00AC6496">
        <w:rPr>
          <w:b/>
          <w:bCs/>
        </w:rPr>
        <w:tab/>
        <w:t>PSD</w:t>
      </w:r>
      <w:r w:rsidRPr="00AC6496">
        <w:rPr>
          <w:b/>
          <w:bCs/>
        </w:rPr>
        <w:tab/>
        <w:t>PSD updates, assorted</w:t>
      </w:r>
      <w:r w:rsidRPr="00AC6496">
        <w:rPr>
          <w:b/>
          <w:bCs/>
        </w:rPr>
        <w:tab/>
      </w:r>
    </w:p>
    <w:p w14:paraId="29972B90" w14:textId="77777777" w:rsidR="0060253C" w:rsidRDefault="0060253C" w:rsidP="0060253C">
      <w:r>
        <w:t>Outputs: Various PSD updates needed, related to updated values, new measures, and expansion of a set of measures to smaller businesses.</w:t>
      </w:r>
      <w:r>
        <w:tab/>
      </w:r>
    </w:p>
    <w:p w14:paraId="276F0B94" w14:textId="77777777" w:rsidR="0060253C" w:rsidRDefault="0060253C" w:rsidP="0060253C">
      <w:r>
        <w:t>Description: Various PSD updates needed, related to: controls, cooling / chillers and lighting retrofits; expansion of appropriate custom measures to medium-sized firms; and a variety of new measures (fault detectors, data centers)</w:t>
      </w:r>
      <w:r>
        <w:tab/>
      </w:r>
    </w:p>
    <w:p w14:paraId="6A1C058E" w14:textId="77777777" w:rsidR="0060253C" w:rsidRDefault="0060253C" w:rsidP="0060253C">
      <w:r>
        <w:t>Budget and Start Year: $150</w:t>
      </w:r>
      <w:r>
        <w:tab/>
        <w:t>2022</w:t>
      </w:r>
    </w:p>
    <w:p w14:paraId="500DFBCA" w14:textId="77777777" w:rsidR="0060253C" w:rsidRDefault="0060253C" w:rsidP="0060253C"/>
    <w:p w14:paraId="4381611B" w14:textId="6D6FFA65" w:rsidR="0060253C" w:rsidRDefault="0060253C" w:rsidP="0060253C">
      <w:pPr>
        <w:pStyle w:val="Heading2"/>
      </w:pPr>
      <w:bookmarkStart w:id="21" w:name="_Toc90010653"/>
      <w:bookmarkStart w:id="22" w:name="_Toc90618559"/>
      <w:r>
        <w:t>4.5 Topic Studies (2230-</w:t>
      </w:r>
      <w:bookmarkEnd w:id="21"/>
      <w:r w:rsidR="004C20FC">
        <w:t>2246)</w:t>
      </w:r>
      <w:bookmarkEnd w:id="22"/>
    </w:p>
    <w:p w14:paraId="557711CA" w14:textId="77777777" w:rsidR="0060253C" w:rsidRDefault="0060253C" w:rsidP="0060253C"/>
    <w:p w14:paraId="53F24913" w14:textId="77777777" w:rsidR="0060253C" w:rsidRPr="00432502" w:rsidRDefault="0060253C" w:rsidP="0060253C">
      <w:pPr>
        <w:rPr>
          <w:b/>
          <w:bCs/>
        </w:rPr>
      </w:pPr>
      <w:r w:rsidRPr="00432502">
        <w:rPr>
          <w:b/>
          <w:bCs/>
        </w:rPr>
        <w:t>C2230</w:t>
      </w:r>
      <w:r w:rsidRPr="00432502">
        <w:rPr>
          <w:b/>
          <w:bCs/>
        </w:rPr>
        <w:tab/>
        <w:t>RP</w:t>
      </w:r>
      <w:r w:rsidRPr="00432502">
        <w:rPr>
          <w:b/>
          <w:bCs/>
        </w:rPr>
        <w:tab/>
        <w:t>Topics</w:t>
      </w:r>
      <w:r w:rsidRPr="00432502">
        <w:rPr>
          <w:b/>
          <w:bCs/>
        </w:rPr>
        <w:tab/>
        <w:t>Commercial Heat Pump Study</w:t>
      </w:r>
      <w:r w:rsidRPr="00432502">
        <w:rPr>
          <w:b/>
          <w:bCs/>
        </w:rPr>
        <w:tab/>
      </w:r>
    </w:p>
    <w:p w14:paraId="10EA3DD0" w14:textId="77777777" w:rsidR="0060253C" w:rsidRDefault="0060253C" w:rsidP="0060253C">
      <w:r>
        <w:t>Outputs: Outputs focus on improvements to program design and savings estimation for commercial heat pumps and other C&amp;I electrification measures.</w:t>
      </w:r>
      <w:r>
        <w:tab/>
      </w:r>
    </w:p>
    <w:p w14:paraId="05521B39" w14:textId="07FEF2E0" w:rsidR="0060253C" w:rsidRDefault="0060253C" w:rsidP="0060253C">
      <w:r>
        <w:t>Description: This study will address the following research objectives pertaining to heat pumps and electrification in the commercial sector: (1) Identify pathways for all electric new construction commercial buildings; (2) help to refine savings estimation methods for commercial heat pumps, including addressing issues such as partial vs full displacement and the effect of manual vs integrated controls; (3) analyze attribution and baseline issues for commercial heat pumps; and (4) provide EM&amp;V support for a commercial heat pump pilot approved by DEEP in its 2021 C&amp;LM plan approval.  Methods may include field monitoring, participant surveys, and modeling.  The rollout of this study will be affected by the pace of commercial heat pump activity in CT.</w:t>
      </w:r>
      <w:r>
        <w:tab/>
      </w:r>
    </w:p>
    <w:p w14:paraId="39EB1833" w14:textId="77777777" w:rsidR="0060253C" w:rsidRDefault="0060253C" w:rsidP="0060253C">
      <w:r>
        <w:t>Budget and Start Year: $500</w:t>
      </w:r>
      <w:r>
        <w:tab/>
        <w:t>2022</w:t>
      </w:r>
    </w:p>
    <w:p w14:paraId="0B0C22BD" w14:textId="77777777" w:rsidR="0060253C" w:rsidRDefault="0060253C" w:rsidP="0060253C"/>
    <w:p w14:paraId="6B9D67B4" w14:textId="77777777" w:rsidR="0060253C" w:rsidRPr="00FC2B6A" w:rsidRDefault="0060253C" w:rsidP="0060253C">
      <w:pPr>
        <w:rPr>
          <w:b/>
          <w:bCs/>
        </w:rPr>
      </w:pPr>
      <w:r w:rsidRPr="00FC2B6A">
        <w:rPr>
          <w:b/>
          <w:bCs/>
        </w:rPr>
        <w:t>X2231</w:t>
      </w:r>
      <w:r w:rsidRPr="00FC2B6A">
        <w:rPr>
          <w:b/>
          <w:bCs/>
        </w:rPr>
        <w:tab/>
        <w:t>RP</w:t>
      </w:r>
      <w:r w:rsidRPr="00FC2B6A">
        <w:rPr>
          <w:b/>
          <w:bCs/>
        </w:rPr>
        <w:tab/>
        <w:t>Topics</w:t>
      </w:r>
      <w:r w:rsidRPr="00FC2B6A">
        <w:rPr>
          <w:b/>
          <w:bCs/>
        </w:rPr>
        <w:tab/>
        <w:t>Cross-Cutting Heat Pump Study</w:t>
      </w:r>
      <w:r w:rsidRPr="00FC2B6A">
        <w:rPr>
          <w:b/>
          <w:bCs/>
        </w:rPr>
        <w:tab/>
      </w:r>
    </w:p>
    <w:p w14:paraId="10A04354" w14:textId="77777777" w:rsidR="0060253C" w:rsidRDefault="0060253C" w:rsidP="0060253C">
      <w:r>
        <w:t>Outputs: Outputs include recommendations regarding: (1) improvements to program design for electrification efforts in both the residential and C&amp;I sectors; (2) electrification goals; and (3) policies pertaining to beneficial electrification.</w:t>
      </w:r>
      <w:r>
        <w:tab/>
      </w:r>
    </w:p>
    <w:p w14:paraId="6F43A662" w14:textId="494837FA" w:rsidR="0060253C" w:rsidRDefault="0060253C" w:rsidP="0060253C">
      <w:r>
        <w:t>Description: This study will address the following research objectives pertaining to heat pumps and electrification in both the residential and the commercial sectors</w:t>
      </w:r>
      <w:r w:rsidR="002D56EE">
        <w:t>: (</w:t>
      </w:r>
      <w:r>
        <w:t>1) illuminate best practices regarding fossil fuel to electric conversion efforts; (2) identify and characterize new target measures to help support electrification efforts; and (3) analyze the technical, economic and market potential for beneficial electrification in CT.  Methods may include literature review, expert and upstream interviews, customer surveys, and modeling.  The pace of this study may be limited by the pace of both policy developments regarding electrification and (in some cases) heat pump program activity.</w:t>
      </w:r>
      <w:r>
        <w:tab/>
      </w:r>
    </w:p>
    <w:p w14:paraId="1152F8A3" w14:textId="77777777" w:rsidR="0060253C" w:rsidRDefault="0060253C" w:rsidP="0060253C">
      <w:r>
        <w:t>Budget and Start Year: $400</w:t>
      </w:r>
      <w:r>
        <w:tab/>
        <w:t>2022</w:t>
      </w:r>
    </w:p>
    <w:p w14:paraId="37194295" w14:textId="77777777" w:rsidR="0060253C" w:rsidRDefault="0060253C" w:rsidP="0060253C"/>
    <w:p w14:paraId="5F1C1EE6" w14:textId="77777777" w:rsidR="0060253C" w:rsidRPr="00FC2B6A" w:rsidRDefault="0060253C" w:rsidP="0060253C">
      <w:pPr>
        <w:rPr>
          <w:b/>
          <w:bCs/>
        </w:rPr>
      </w:pPr>
      <w:r w:rsidRPr="00FC2B6A">
        <w:rPr>
          <w:b/>
          <w:bCs/>
        </w:rPr>
        <w:t>X2232</w:t>
      </w:r>
      <w:r w:rsidRPr="00FC2B6A">
        <w:rPr>
          <w:b/>
          <w:bCs/>
        </w:rPr>
        <w:tab/>
        <w:t>LAS</w:t>
      </w:r>
      <w:r>
        <w:rPr>
          <w:b/>
          <w:bCs/>
        </w:rPr>
        <w:t xml:space="preserve"> RP</w:t>
      </w:r>
      <w:r w:rsidRPr="00FC2B6A">
        <w:rPr>
          <w:b/>
          <w:bCs/>
        </w:rPr>
        <w:tab/>
        <w:t>Topics</w:t>
      </w:r>
      <w:r w:rsidRPr="00FC2B6A">
        <w:rPr>
          <w:b/>
          <w:bCs/>
        </w:rPr>
        <w:tab/>
        <w:t xml:space="preserve">Phase 1 - Data Quality and Process Improvements Options - Evaluation </w:t>
      </w:r>
      <w:r w:rsidRPr="00FC2B6A">
        <w:rPr>
          <w:b/>
          <w:bCs/>
        </w:rPr>
        <w:tab/>
      </w:r>
    </w:p>
    <w:p w14:paraId="54DA566A" w14:textId="77777777" w:rsidR="0060253C" w:rsidRDefault="0060253C" w:rsidP="0060253C">
      <w:r>
        <w:t>Outputs: Development of recommendations for approaches to improve the quality, timeliness, and cost-effectiveness of data acquisition to support EM&amp;V studies.</w:t>
      </w:r>
      <w:r>
        <w:tab/>
      </w:r>
    </w:p>
    <w:p w14:paraId="5731F9D2" w14:textId="77777777" w:rsidR="0060253C" w:rsidRDefault="0060253C" w:rsidP="0060253C">
      <w:r>
        <w:t>Description: This Phase 1 study is focused on analyzing the challenges CT has faced in generating and maintaining the datasets needed to perform effective EM&amp;V studies, consider and assess a variety of possible options for remedying the data content and delivery issues, and make recommendations for changes to data processes.  The level of recommendations may be modest or may be very extensive.  The work will involve interviews with utility data staff and with evaluation contractors and EA, review of databases and typical data needs for different types of evaluation projects, interviews with other states regarding their processes, and other research.</w:t>
      </w:r>
      <w:r>
        <w:tab/>
      </w:r>
    </w:p>
    <w:p w14:paraId="3349DAE9" w14:textId="77777777" w:rsidR="0060253C" w:rsidRDefault="0060253C" w:rsidP="0060253C">
      <w:r>
        <w:t>Budget and Start Year: $250</w:t>
      </w:r>
      <w:r>
        <w:tab/>
        <w:t>2022</w:t>
      </w:r>
    </w:p>
    <w:p w14:paraId="335FEC85" w14:textId="77777777" w:rsidR="0060253C" w:rsidRDefault="0060253C" w:rsidP="0060253C"/>
    <w:p w14:paraId="020175EC" w14:textId="77777777" w:rsidR="0060253C" w:rsidRPr="00FC2B6A" w:rsidRDefault="0060253C" w:rsidP="0060253C">
      <w:pPr>
        <w:rPr>
          <w:b/>
          <w:bCs/>
        </w:rPr>
      </w:pPr>
      <w:r w:rsidRPr="00FC2B6A">
        <w:rPr>
          <w:b/>
          <w:bCs/>
        </w:rPr>
        <w:t>X2233</w:t>
      </w:r>
      <w:r w:rsidRPr="00FC2B6A">
        <w:rPr>
          <w:b/>
          <w:bCs/>
        </w:rPr>
        <w:tab/>
        <w:t>LAS RP</w:t>
      </w:r>
      <w:r w:rsidRPr="00FC2B6A">
        <w:rPr>
          <w:b/>
          <w:bCs/>
        </w:rPr>
        <w:tab/>
        <w:t>Topics</w:t>
      </w:r>
      <w:r w:rsidRPr="00FC2B6A">
        <w:rPr>
          <w:b/>
          <w:bCs/>
        </w:rPr>
        <w:tab/>
        <w:t>Phase 2 - Data Quality and Process Improvements - Evaluation – Implementation</w:t>
      </w:r>
    </w:p>
    <w:p w14:paraId="0D159CC7" w14:textId="77777777" w:rsidR="0060253C" w:rsidRDefault="0060253C" w:rsidP="0060253C">
      <w:r>
        <w:t>Outputs: Develop the plan for and/or implement recommendations from Phase 1 of the Data Quality Improvement Project, including the on-going source for the needed funds.</w:t>
      </w:r>
      <w:r>
        <w:tab/>
      </w:r>
    </w:p>
    <w:p w14:paraId="112C410F" w14:textId="77777777" w:rsidR="0060253C" w:rsidRDefault="0060253C" w:rsidP="0060253C">
      <w:r>
        <w:t>Description: Using the results of the Phase 1 data quality / improvement study, this Phase 2 work will develop the plan for and/or implement recommendations from Phase 1 of the Data Quality Improvement Project, including the on-going source for the needed funds.</w:t>
      </w:r>
      <w:r>
        <w:tab/>
      </w:r>
    </w:p>
    <w:p w14:paraId="69C8A0D9" w14:textId="77777777" w:rsidR="0060253C" w:rsidRDefault="0060253C" w:rsidP="0060253C">
      <w:r>
        <w:t>Budget and Start Year: $0</w:t>
      </w:r>
      <w:r>
        <w:tab/>
        <w:t>2023</w:t>
      </w:r>
    </w:p>
    <w:p w14:paraId="50CF8F91" w14:textId="77777777" w:rsidR="0060253C" w:rsidRDefault="0060253C" w:rsidP="0060253C"/>
    <w:p w14:paraId="45C39108" w14:textId="77777777" w:rsidR="0060253C" w:rsidRPr="00FC2B6A" w:rsidRDefault="0060253C" w:rsidP="0060253C">
      <w:pPr>
        <w:rPr>
          <w:b/>
          <w:bCs/>
        </w:rPr>
      </w:pPr>
      <w:r w:rsidRPr="00FC2B6A">
        <w:rPr>
          <w:b/>
          <w:bCs/>
        </w:rPr>
        <w:t>X2234</w:t>
      </w:r>
      <w:r w:rsidRPr="00FC2B6A">
        <w:rPr>
          <w:b/>
          <w:bCs/>
        </w:rPr>
        <w:tab/>
        <w:t>RP</w:t>
      </w:r>
      <w:r w:rsidRPr="00FC2B6A">
        <w:rPr>
          <w:b/>
          <w:bCs/>
        </w:rPr>
        <w:tab/>
        <w:t>Topics</w:t>
      </w:r>
      <w:r w:rsidRPr="00FC2B6A">
        <w:rPr>
          <w:b/>
          <w:bCs/>
        </w:rPr>
        <w:tab/>
        <w:t>Emerging Issues</w:t>
      </w:r>
    </w:p>
    <w:p w14:paraId="7A9FB433" w14:textId="77777777" w:rsidR="0060253C" w:rsidRDefault="0060253C" w:rsidP="0060253C">
      <w:r>
        <w:t>Outputs: Findings and recommendations regarding an emerging policy, program design or market assessment issue to be determined in late 2023.</w:t>
      </w:r>
      <w:r>
        <w:tab/>
      </w:r>
    </w:p>
    <w:p w14:paraId="5BD0EFA1" w14:textId="77777777" w:rsidR="0060253C" w:rsidRDefault="0060253C" w:rsidP="0060253C">
      <w:r>
        <w:t>Description: This project reserves some funding to address one emerging policy, program design or market assessment issue in 2024, with the specific focus to be determined in consultation with the EC in late 2023.  This reflects the fact that it is generally not possible to anticipate everything stakeholders want to know as far out as three years in advance, and thus it is desirable to retain some flexibility for the out years.</w:t>
      </w:r>
      <w:r>
        <w:tab/>
      </w:r>
    </w:p>
    <w:p w14:paraId="7985CAED" w14:textId="77777777" w:rsidR="0060253C" w:rsidRDefault="0060253C" w:rsidP="0060253C">
      <w:r>
        <w:t>Budget and Start Year: $500</w:t>
      </w:r>
      <w:r>
        <w:tab/>
        <w:t>2024</w:t>
      </w:r>
    </w:p>
    <w:p w14:paraId="1CC6E554" w14:textId="77777777" w:rsidR="0060253C" w:rsidRDefault="0060253C" w:rsidP="0060253C"/>
    <w:p w14:paraId="15588B7B" w14:textId="77777777" w:rsidR="0060253C" w:rsidRPr="00FC2B6A" w:rsidRDefault="0060253C" w:rsidP="0060253C">
      <w:pPr>
        <w:rPr>
          <w:b/>
          <w:bCs/>
        </w:rPr>
      </w:pPr>
      <w:r w:rsidRPr="00FC2B6A">
        <w:rPr>
          <w:b/>
          <w:bCs/>
        </w:rPr>
        <w:t>X2235</w:t>
      </w:r>
      <w:r w:rsidRPr="00FC2B6A">
        <w:rPr>
          <w:b/>
          <w:bCs/>
        </w:rPr>
        <w:tab/>
        <w:t>RW</w:t>
      </w:r>
      <w:r w:rsidRPr="00FC2B6A">
        <w:rPr>
          <w:b/>
          <w:bCs/>
        </w:rPr>
        <w:tab/>
        <w:t>Topics</w:t>
      </w:r>
      <w:r w:rsidRPr="00FC2B6A">
        <w:rPr>
          <w:b/>
          <w:bCs/>
        </w:rPr>
        <w:tab/>
        <w:t>Non-Participant Equity Assessment (Res and Small Business)</w:t>
      </w:r>
      <w:r w:rsidRPr="00FC2B6A">
        <w:rPr>
          <w:b/>
          <w:bCs/>
        </w:rPr>
        <w:tab/>
      </w:r>
    </w:p>
    <w:p w14:paraId="00EB977F" w14:textId="77777777" w:rsidR="0060253C" w:rsidRDefault="0060253C" w:rsidP="0060253C">
      <w:r>
        <w:t>Outputs: Identification of non-participants and their characteristics</w:t>
      </w:r>
      <w:r>
        <w:tab/>
      </w:r>
    </w:p>
    <w:p w14:paraId="691FA43F" w14:textId="72984510" w:rsidR="0060253C" w:rsidRDefault="0060253C" w:rsidP="0060253C">
      <w:r>
        <w:t xml:space="preserve">Description: This study conducts an assessment of all residential and small business accounts and locations that have never participated in a program.  Analysis will match this data to Census and other </w:t>
      </w:r>
      <w:r w:rsidR="004C20FC">
        <w:t>third-party</w:t>
      </w:r>
      <w:r>
        <w:t xml:space="preserve"> data to determine probable characteristics and determine if there are types of customers who are more likely to have not participated.  The analysis will provide recommendations on strategies to increase participation of these customer types.  The residential studies </w:t>
      </w:r>
      <w:r w:rsidR="004C20FC">
        <w:t>will be</w:t>
      </w:r>
      <w:r>
        <w:t xml:space="preserve"> conducted at the census block-group level and not by individual accounts.  The small business study will be at the account level, with data linked to location and other factors</w:t>
      </w:r>
      <w:r w:rsidR="002D56EE">
        <w:t>,</w:t>
      </w:r>
      <w:r>
        <w:t xml:space="preserve"> where meaningful.  The study budget </w:t>
      </w:r>
      <w:r w:rsidR="002D56EE">
        <w:t xml:space="preserve">is not able to </w:t>
      </w:r>
      <w:r>
        <w:t xml:space="preserve">support </w:t>
      </w:r>
      <w:r w:rsidR="002D56EE">
        <w:t xml:space="preserve">in-depth </w:t>
      </w:r>
      <w:r>
        <w:t xml:space="preserve">customer interviews to drill down on why </w:t>
      </w:r>
      <w:r w:rsidR="002D56EE">
        <w:t xml:space="preserve">these </w:t>
      </w:r>
      <w:r>
        <w:t>customers are not participating.</w:t>
      </w:r>
      <w:r>
        <w:tab/>
      </w:r>
    </w:p>
    <w:p w14:paraId="7DECFF2B" w14:textId="77777777" w:rsidR="0060253C" w:rsidRDefault="0060253C" w:rsidP="0060253C">
      <w:r>
        <w:t>Budget and Start Year: $400</w:t>
      </w:r>
      <w:r>
        <w:tab/>
        <w:t>2023</w:t>
      </w:r>
    </w:p>
    <w:p w14:paraId="08060AB6" w14:textId="77777777" w:rsidR="0060253C" w:rsidRDefault="0060253C" w:rsidP="0060253C"/>
    <w:p w14:paraId="6AD5A5C8" w14:textId="77777777" w:rsidR="0060253C" w:rsidRPr="00FC2B6A" w:rsidRDefault="0060253C" w:rsidP="0060253C">
      <w:pPr>
        <w:rPr>
          <w:b/>
          <w:bCs/>
        </w:rPr>
      </w:pPr>
      <w:r w:rsidRPr="00FC2B6A">
        <w:rPr>
          <w:b/>
          <w:bCs/>
        </w:rPr>
        <w:t>R2236</w:t>
      </w:r>
      <w:r w:rsidRPr="00FC2B6A">
        <w:rPr>
          <w:b/>
          <w:bCs/>
        </w:rPr>
        <w:tab/>
        <w:t>LAS</w:t>
      </w:r>
      <w:r w:rsidRPr="00FC2B6A">
        <w:rPr>
          <w:b/>
          <w:bCs/>
        </w:rPr>
        <w:tab/>
        <w:t>Topics</w:t>
      </w:r>
      <w:r w:rsidRPr="00FC2B6A">
        <w:rPr>
          <w:b/>
          <w:bCs/>
        </w:rPr>
        <w:tab/>
        <w:t>Program Targeting - Arrears / vulnerable customers</w:t>
      </w:r>
      <w:r w:rsidRPr="00FC2B6A">
        <w:rPr>
          <w:b/>
          <w:bCs/>
        </w:rPr>
        <w:tab/>
      </w:r>
    </w:p>
    <w:p w14:paraId="2145D64E" w14:textId="77777777" w:rsidR="0060253C" w:rsidRDefault="0060253C" w:rsidP="0060253C">
      <w:r>
        <w:t xml:space="preserve">Outputs: Attributable arrearage reduction effect from targeting high-arrearage customers for participation in EE programs.  Identify their associated housing characteristics, location in disadvantaged areas, etc.  </w:t>
      </w:r>
      <w:r>
        <w:tab/>
      </w:r>
    </w:p>
    <w:p w14:paraId="0F3B3080" w14:textId="161EAC1E" w:rsidR="0060253C" w:rsidRDefault="0060253C" w:rsidP="0060253C">
      <w:r>
        <w:t xml:space="preserve">Description: This study conducts and/or reviews analyses of the attributable impacts that an initiative to target and/or direct vulnerable customers (especially high-arrearage customers) into EE (or EE and DR) programs would have on: energy savings and reductions in arrearages.  The study will assess whether these households are overrepresented in lower quality housing stock, distressed neighborhoods, or if the program can provide additional equity benefits.  The study will review programs elsewhere to identify feasible approaches for "vulnerable" customers used at other utilities to assess other strong approaches to consider in CT.  Additional topics will be identified based on </w:t>
      </w:r>
      <w:r w:rsidR="002D56EE">
        <w:t>the</w:t>
      </w:r>
      <w:r>
        <w:t xml:space="preserve"> degree and focus of utility efforts.</w:t>
      </w:r>
    </w:p>
    <w:p w14:paraId="6CC060E2" w14:textId="77777777" w:rsidR="0060253C" w:rsidRDefault="0060253C" w:rsidP="0060253C">
      <w:r>
        <w:t>Budget and Start Year: $100</w:t>
      </w:r>
      <w:r>
        <w:tab/>
        <w:t>2022</w:t>
      </w:r>
    </w:p>
    <w:p w14:paraId="2B51BBC2" w14:textId="77777777" w:rsidR="0060253C" w:rsidRDefault="0060253C" w:rsidP="0060253C"/>
    <w:p w14:paraId="799CCC7A" w14:textId="77777777" w:rsidR="0060253C" w:rsidRPr="00B74B05" w:rsidRDefault="0060253C" w:rsidP="0060253C">
      <w:pPr>
        <w:rPr>
          <w:b/>
          <w:bCs/>
        </w:rPr>
      </w:pPr>
      <w:r w:rsidRPr="00B74B05">
        <w:rPr>
          <w:b/>
          <w:bCs/>
        </w:rPr>
        <w:t>X2237</w:t>
      </w:r>
      <w:r w:rsidRPr="00B74B05">
        <w:rPr>
          <w:b/>
          <w:bCs/>
        </w:rPr>
        <w:tab/>
        <w:t>LAS</w:t>
      </w:r>
      <w:r w:rsidRPr="00B74B05">
        <w:rPr>
          <w:b/>
          <w:bCs/>
        </w:rPr>
        <w:tab/>
        <w:t>Topics</w:t>
      </w:r>
      <w:r w:rsidRPr="00B74B05">
        <w:rPr>
          <w:b/>
          <w:bCs/>
        </w:rPr>
        <w:tab/>
        <w:t>NEIs - Utility, H&amp;S, and Controls Measures</w:t>
      </w:r>
      <w:r w:rsidRPr="00B74B05">
        <w:rPr>
          <w:b/>
          <w:bCs/>
        </w:rPr>
        <w:tab/>
      </w:r>
    </w:p>
    <w:p w14:paraId="0F5D5DB5" w14:textId="77777777" w:rsidR="0060253C" w:rsidRDefault="0060253C" w:rsidP="0060253C">
      <w:r>
        <w:t>Outputs: Conduct 1-3 NEI studies, focused on: utility NEIs, which can be claimed in current C/E test; H&amp;S NEIs especially related to new initiative to address barrier removal in HES &amp; IE weatherization (IE portion can also be included in current C/E tests); and lighting control measures to use in marketing and outreach to increase uptake of these measures.</w:t>
      </w:r>
      <w:r>
        <w:tab/>
      </w:r>
    </w:p>
    <w:p w14:paraId="0BE0A620" w14:textId="77777777" w:rsidR="0060253C" w:rsidRDefault="0060253C" w:rsidP="0060253C">
      <w:r>
        <w:t>Description: Conduct 1-3 focused NEI studies.  Utility NEIs are allowable in the current C/E test, but little research has focused on NEIs from reliability, resiliency, and other NEIs that provide benefit to the system.  Conduct a literature review including review of avoided cost studies elsewhere and research that may be ongoing in other states to examine these issues and provide recommended values or ranges - or primary research that should be conducted on specific NEIs that show high potential value.  Conduct research that is feasible within budget.  Conduct a study of H&amp;S NEIs especially related to barrier removal (mold, vermiculite, etc.) and IAQ effects in (HES &amp;) HES-IE.  These H&amp;S effects from HES-IE can be included in the C/E test.  Conduct a study of NEIs from lighting and integrated controls.  These measures remain one of the few updates to lighting that may still have savings, but uptake is relatively low, partly because energy savings may not be the main benefit and the other NEIs are not yet well-quantified.  Providing credible estimates of these other (home or) building savings may help potential participants better appreciate the overall ROI and increase uptake of these lighting measures within CT programs.</w:t>
      </w:r>
      <w:r>
        <w:tab/>
      </w:r>
    </w:p>
    <w:p w14:paraId="4451C409" w14:textId="77777777" w:rsidR="0060253C" w:rsidRDefault="0060253C" w:rsidP="0060253C">
      <w:r>
        <w:t>Budget and Start Year: $400</w:t>
      </w:r>
      <w:r>
        <w:tab/>
        <w:t>2022</w:t>
      </w:r>
    </w:p>
    <w:p w14:paraId="0FDA5FC5" w14:textId="77777777" w:rsidR="0060253C" w:rsidRDefault="0060253C" w:rsidP="0060253C"/>
    <w:p w14:paraId="4798BB84" w14:textId="77777777" w:rsidR="0060253C" w:rsidRPr="00B74B05" w:rsidRDefault="0060253C" w:rsidP="0060253C">
      <w:pPr>
        <w:rPr>
          <w:b/>
          <w:bCs/>
        </w:rPr>
      </w:pPr>
      <w:r w:rsidRPr="00B74B05">
        <w:rPr>
          <w:b/>
          <w:bCs/>
        </w:rPr>
        <w:t>X2238</w:t>
      </w:r>
      <w:r w:rsidRPr="00B74B05">
        <w:rPr>
          <w:b/>
          <w:bCs/>
        </w:rPr>
        <w:tab/>
        <w:t>LAS</w:t>
      </w:r>
      <w:r w:rsidRPr="00B74B05">
        <w:rPr>
          <w:b/>
          <w:bCs/>
        </w:rPr>
        <w:tab/>
        <w:t>Topics</w:t>
      </w:r>
      <w:r w:rsidRPr="00B74B05">
        <w:rPr>
          <w:b/>
          <w:bCs/>
        </w:rPr>
        <w:tab/>
        <w:t>Evaluability Study - Residential &amp; Commercial</w:t>
      </w:r>
      <w:r w:rsidRPr="00B74B05">
        <w:rPr>
          <w:b/>
          <w:bCs/>
        </w:rPr>
        <w:tab/>
      </w:r>
    </w:p>
    <w:p w14:paraId="495EA493" w14:textId="77777777" w:rsidR="0060253C" w:rsidRDefault="0060253C" w:rsidP="0060253C">
      <w:r>
        <w:t>Outputs: Conduct an evaluability study, with a special focus on mid- and up-stream programs, to identify evaluability, and work with utilities to refine data collected during implementation to address evaluability gaps identified in the study to assure all funded programs can be evaluated.</w:t>
      </w:r>
      <w:r>
        <w:tab/>
      </w:r>
    </w:p>
    <w:p w14:paraId="4EDC6B46" w14:textId="77777777" w:rsidR="0060253C" w:rsidRDefault="0060253C" w:rsidP="0060253C">
      <w:r>
        <w:t>Description: Conduct an evaluability study, with a special focus on mid- and up-stream programs.  For mid-stream and up-stream programs, conduct a review of needed vs. available data for impact evaluations and identify gaps.  Review processes and options used at other utilities.   Work with the utilities and implementation contractors to identify refinements to delivery or data collection for programs with evaluability problems (identifying universal changes, or periodic "post card" or other options) that will make it possible to credibly / defensibly evaluate program initiatives that have not been well-evaluated in the past, to assure all funded programs can be evaluated.</w:t>
      </w:r>
      <w:r>
        <w:tab/>
      </w:r>
    </w:p>
    <w:p w14:paraId="790C4E64" w14:textId="77777777" w:rsidR="0060253C" w:rsidRDefault="0060253C" w:rsidP="0060253C">
      <w:r>
        <w:t>Budget and Start Year: $200</w:t>
      </w:r>
      <w:r>
        <w:tab/>
        <w:t>2022</w:t>
      </w:r>
    </w:p>
    <w:p w14:paraId="68285D18" w14:textId="6637971F" w:rsidR="0060253C" w:rsidRDefault="0060253C" w:rsidP="0060253C"/>
    <w:p w14:paraId="5E4BB783" w14:textId="77777777" w:rsidR="0060253C" w:rsidRPr="004A3991" w:rsidRDefault="0060253C" w:rsidP="0060253C"/>
    <w:p w14:paraId="19CBF682" w14:textId="77777777" w:rsidR="0060253C" w:rsidRPr="004A3991" w:rsidRDefault="0060253C" w:rsidP="0060253C">
      <w:pPr>
        <w:rPr>
          <w:b/>
          <w:bCs/>
        </w:rPr>
      </w:pPr>
      <w:r w:rsidRPr="004A3991">
        <w:rPr>
          <w:b/>
          <w:bCs/>
        </w:rPr>
        <w:t>X2239</w:t>
      </w:r>
      <w:r w:rsidRPr="004A3991">
        <w:rPr>
          <w:b/>
          <w:bCs/>
        </w:rPr>
        <w:tab/>
        <w:t>LAS</w:t>
      </w:r>
      <w:r w:rsidRPr="004A3991">
        <w:rPr>
          <w:b/>
          <w:bCs/>
        </w:rPr>
        <w:tab/>
        <w:t>Topics</w:t>
      </w:r>
      <w:r w:rsidRPr="004A3991">
        <w:rPr>
          <w:b/>
          <w:bCs/>
        </w:rPr>
        <w:tab/>
        <w:t>GHG / GWSA Compliance Avoided Cost Study</w:t>
      </w:r>
      <w:r w:rsidRPr="004A3991">
        <w:rPr>
          <w:b/>
          <w:bCs/>
        </w:rPr>
        <w:tab/>
      </w:r>
    </w:p>
    <w:p w14:paraId="40BC8B81" w14:textId="77777777" w:rsidR="0060253C" w:rsidRDefault="0060253C" w:rsidP="0060253C">
      <w:pPr>
        <w:rPr>
          <w:b/>
          <w:bCs/>
        </w:rPr>
      </w:pPr>
    </w:p>
    <w:p w14:paraId="1C40A922" w14:textId="77777777" w:rsidR="0060253C" w:rsidRPr="0060253C" w:rsidRDefault="0060253C" w:rsidP="0060253C">
      <w:r w:rsidRPr="0060253C">
        <w:t>Outputs:  Study quantifies the avoided cost of complying with CT's Global Warming Solutions Act (GWSA) for updating the State's Cost-effectiveness test, adapting work from MA.</w:t>
      </w:r>
      <w:r w:rsidRPr="0060253C">
        <w:tab/>
      </w:r>
    </w:p>
    <w:p w14:paraId="77A54BF3" w14:textId="77777777" w:rsidR="0060253C" w:rsidRPr="0060253C" w:rsidRDefault="0060253C" w:rsidP="0060253C">
      <w:r w:rsidRPr="0060253C">
        <w:t>Description: Study quantifies the avoided cost of complying with CT's Global Warming Solutions Act (GWSA).  This study is needed for future updates to the C/E test, and is needed as part of embedding GHG emissions into the test.  It will be similar to the MA AESC Supplemental study, and will focus on adapting the MA work to the CT situation.</w:t>
      </w:r>
      <w:r w:rsidRPr="0060253C">
        <w:tab/>
      </w:r>
    </w:p>
    <w:p w14:paraId="1B5F97E0" w14:textId="77777777" w:rsidR="0060253C" w:rsidRPr="0060253C" w:rsidRDefault="0060253C" w:rsidP="0060253C">
      <w:r w:rsidRPr="0060253C">
        <w:t>Budget: $50K</w:t>
      </w:r>
    </w:p>
    <w:p w14:paraId="3D5223BF" w14:textId="77777777" w:rsidR="0060253C" w:rsidRDefault="0060253C" w:rsidP="0060253C"/>
    <w:p w14:paraId="13323925" w14:textId="77777777" w:rsidR="0060253C" w:rsidRPr="004A3991" w:rsidRDefault="0060253C" w:rsidP="0060253C">
      <w:pPr>
        <w:rPr>
          <w:b/>
          <w:bCs/>
        </w:rPr>
      </w:pPr>
      <w:r w:rsidRPr="004A3991">
        <w:rPr>
          <w:b/>
          <w:bCs/>
        </w:rPr>
        <w:t>X2240</w:t>
      </w:r>
      <w:r w:rsidRPr="004A3991">
        <w:rPr>
          <w:b/>
          <w:bCs/>
        </w:rPr>
        <w:tab/>
        <w:t>DG</w:t>
      </w:r>
      <w:r w:rsidRPr="004A3991">
        <w:rPr>
          <w:b/>
          <w:bCs/>
        </w:rPr>
        <w:tab/>
        <w:t>Topics</w:t>
      </w:r>
      <w:r w:rsidRPr="004A3991">
        <w:rPr>
          <w:b/>
          <w:bCs/>
        </w:rPr>
        <w:tab/>
        <w:t>Potential for DR and EE measure interaction</w:t>
      </w:r>
      <w:r w:rsidRPr="004A3991">
        <w:rPr>
          <w:b/>
          <w:bCs/>
        </w:rPr>
        <w:tab/>
      </w:r>
    </w:p>
    <w:p w14:paraId="08C7035B" w14:textId="77777777" w:rsidR="0060253C" w:rsidRPr="0060253C" w:rsidRDefault="0060253C" w:rsidP="0060253C">
      <w:r w:rsidRPr="0060253C">
        <w:t>Outputs: Provide information on potential system savings due to better coordinated deployment of EE and DR measures.  Assumes limited study, starting in 2024, if / as CT focus on PV, battery, and DER increases.</w:t>
      </w:r>
      <w:r w:rsidRPr="0060253C">
        <w:tab/>
      </w:r>
    </w:p>
    <w:p w14:paraId="55D87567" w14:textId="77777777" w:rsidR="0060253C" w:rsidRPr="0060253C" w:rsidRDefault="0060253C" w:rsidP="0060253C">
      <w:r w:rsidRPr="0060253C">
        <w:t xml:space="preserve">Description:  This study will be considered / reconsidered in later years of the 3-year plan and may carry over to next period if undertaken.  This limited-scope project identifies measure bundles and the potential the bundles will both reduce system demand and provide demand response opportunities. The LBNL conceptual EE/DR framework (Satchwell et al, 2020) is the most likely tool to be used.  Outcomes can help optimize program design to manage capacity requirements in the face of volatile distributed energy resources, primarily photovoltaics, and demand response resources.  </w:t>
      </w:r>
      <w:r w:rsidRPr="0060253C">
        <w:tab/>
      </w:r>
    </w:p>
    <w:p w14:paraId="6C1CC4DC" w14:textId="77777777" w:rsidR="0060253C" w:rsidRPr="0060253C" w:rsidRDefault="0060253C" w:rsidP="0060253C">
      <w:r w:rsidRPr="0060253C">
        <w:t>Budget:  $200K</w:t>
      </w:r>
    </w:p>
    <w:p w14:paraId="26B920F6" w14:textId="77777777" w:rsidR="0060253C" w:rsidRPr="004A3991" w:rsidRDefault="0060253C" w:rsidP="0060253C"/>
    <w:p w14:paraId="41AB9C55" w14:textId="77777777" w:rsidR="0060253C" w:rsidRDefault="0060253C" w:rsidP="0060253C"/>
    <w:p w14:paraId="6F992E56" w14:textId="77777777" w:rsidR="0060253C" w:rsidRPr="00B74B05" w:rsidRDefault="0060253C" w:rsidP="0060253C">
      <w:pPr>
        <w:rPr>
          <w:b/>
          <w:bCs/>
        </w:rPr>
      </w:pPr>
      <w:r w:rsidRPr="00B74B05">
        <w:rPr>
          <w:b/>
          <w:bCs/>
        </w:rPr>
        <w:t>X2241</w:t>
      </w:r>
      <w:r w:rsidRPr="00B74B05">
        <w:rPr>
          <w:b/>
          <w:bCs/>
        </w:rPr>
        <w:tab/>
        <w:t>RP</w:t>
      </w:r>
      <w:r w:rsidRPr="00B74B05">
        <w:rPr>
          <w:b/>
          <w:bCs/>
        </w:rPr>
        <w:tab/>
        <w:t>Topics</w:t>
      </w:r>
      <w:r w:rsidRPr="00B74B05">
        <w:rPr>
          <w:b/>
          <w:bCs/>
        </w:rPr>
        <w:tab/>
        <w:t>EE/DR Potential Research</w:t>
      </w:r>
      <w:r w:rsidRPr="00B74B05">
        <w:rPr>
          <w:b/>
          <w:bCs/>
        </w:rPr>
        <w:tab/>
      </w:r>
    </w:p>
    <w:p w14:paraId="629381B1" w14:textId="77777777" w:rsidR="0060253C" w:rsidRDefault="0060253C" w:rsidP="0060253C">
      <w:r>
        <w:t>Outputs: Estimates of potential savings for energy efficiency and DR measures, both in total and by measure/market; recommendations regarding program design and resource allocation.</w:t>
      </w:r>
      <w:r>
        <w:tab/>
      </w:r>
    </w:p>
    <w:p w14:paraId="4FE3453B" w14:textId="77777777" w:rsidR="0060253C" w:rsidRDefault="0060253C" w:rsidP="0060253C">
      <w:r>
        <w:t>Description: This project will provide estimates of technical, economic and market potential, both in total and by measure/market.  An important issue that will need to be resolved before project initiation is whether to go broad (a global potential study looking at the entire portfolio) or deep (a set of studies targeted at specific markets, program types, or measure categories).  The project should be timed to feed into the next three-year plan beginning in 2025, as potential estimates are a key long-term planning input.  Note that, because there is particular interest in the issue of electrification potential, that issue is called out for definite action under a different study, and is thus not included here.</w:t>
      </w:r>
      <w:r>
        <w:tab/>
      </w:r>
    </w:p>
    <w:p w14:paraId="5CE3D1C8" w14:textId="77777777" w:rsidR="0060253C" w:rsidRDefault="0060253C" w:rsidP="0060253C">
      <w:r>
        <w:t>Budget and Start Year: $500</w:t>
      </w:r>
      <w:r>
        <w:tab/>
        <w:t>2023</w:t>
      </w:r>
    </w:p>
    <w:p w14:paraId="2AF3CE55" w14:textId="77777777" w:rsidR="0060253C" w:rsidRDefault="0060253C" w:rsidP="0060253C"/>
    <w:p w14:paraId="663F6333" w14:textId="504415EC" w:rsidR="0060253C" w:rsidRPr="00B74B05" w:rsidRDefault="0060253C" w:rsidP="0060253C">
      <w:pPr>
        <w:rPr>
          <w:b/>
          <w:bCs/>
        </w:rPr>
      </w:pPr>
      <w:r w:rsidRPr="00B74B05">
        <w:rPr>
          <w:b/>
          <w:bCs/>
        </w:rPr>
        <w:t>R2242</w:t>
      </w:r>
      <w:r w:rsidRPr="00B74B05">
        <w:rPr>
          <w:b/>
          <w:bCs/>
        </w:rPr>
        <w:tab/>
        <w:t>LAS</w:t>
      </w:r>
      <w:r w:rsidR="008306C8">
        <w:rPr>
          <w:b/>
          <w:bCs/>
        </w:rPr>
        <w:t>/PJ</w:t>
      </w:r>
      <w:r w:rsidRPr="00B74B05">
        <w:rPr>
          <w:b/>
          <w:bCs/>
        </w:rPr>
        <w:tab/>
        <w:t>Topics</w:t>
      </w:r>
      <w:r w:rsidRPr="00B74B05">
        <w:rPr>
          <w:b/>
          <w:bCs/>
        </w:rPr>
        <w:tab/>
        <w:t>Residential Weatherization Barriers Study</w:t>
      </w:r>
      <w:r w:rsidR="008306C8">
        <w:rPr>
          <w:b/>
          <w:bCs/>
        </w:rPr>
        <w:t xml:space="preserve"> and Adapting Residential </w:t>
      </w:r>
      <w:proofErr w:type="spellStart"/>
      <w:r w:rsidR="008306C8">
        <w:rPr>
          <w:b/>
          <w:bCs/>
        </w:rPr>
        <w:t>Wx</w:t>
      </w:r>
      <w:proofErr w:type="spellEnd"/>
      <w:r w:rsidR="008306C8">
        <w:rPr>
          <w:b/>
          <w:bCs/>
        </w:rPr>
        <w:t xml:space="preserve"> measures to C&amp;I</w:t>
      </w:r>
      <w:r w:rsidRPr="00B74B05">
        <w:rPr>
          <w:b/>
          <w:bCs/>
        </w:rPr>
        <w:tab/>
      </w:r>
    </w:p>
    <w:p w14:paraId="28CD90F1" w14:textId="77777777" w:rsidR="0060253C" w:rsidRDefault="0060253C" w:rsidP="0060253C">
      <w:r>
        <w:t>Outputs: Conduct early process and NEI study of weatherization barriers initiative being added to HES / IE.  Use quarterly survey approach to address the approach and refine delivery.  Examine differential effects on sensitive households.  Focus NEI research on developing defensible health effects.  Provide information to allow vendors to estimate health benefits associated with specific barriers (vermiculite vs. mold, etc.) going forward.</w:t>
      </w:r>
      <w:r>
        <w:tab/>
      </w:r>
    </w:p>
    <w:p w14:paraId="713E393A" w14:textId="4B98E57C" w:rsidR="0060253C" w:rsidRDefault="0060253C" w:rsidP="0060253C">
      <w:r>
        <w:t>Description: Use quarterly surveys of participants to conduct a process (and potentially NEI) study of the new weatherization barriers initiative being added to HES / IE. program.  Address key issues related to program delivery and focus and refine in real time.  Use these quarterly surveys and follow-up surveys to identify NEIs associated with these H&amp;S and IAQ initiatives, and estimate the NEIs using survey and literature sources.  Provide information to allow vendors to estimate health benefits associated with specific barriers (vermiculite vs. mold, etc.) going forward.  If possible, specifically examine differential effects on sensitive households, for program effects (initial savings capture estimate) and from NEIs.</w:t>
      </w:r>
      <w:r>
        <w:tab/>
      </w:r>
    </w:p>
    <w:p w14:paraId="43A89D43" w14:textId="563D1EAC" w:rsidR="008F44F9" w:rsidRPr="00D04FD9" w:rsidRDefault="008F44F9" w:rsidP="0060253C">
      <w:pPr>
        <w:rPr>
          <w:highlight w:val="yellow"/>
        </w:rPr>
      </w:pPr>
      <w:r w:rsidRPr="00D04FD9">
        <w:rPr>
          <w:highlight w:val="yellow"/>
        </w:rPr>
        <w:t xml:space="preserve">This study will also review the residential prescriptive measures for weatherization, and identify the degree to which more measures can be extended to the C&amp;I, small C&amp;I, or </w:t>
      </w:r>
      <w:proofErr w:type="gramStart"/>
      <w:r w:rsidRPr="00D04FD9">
        <w:rPr>
          <w:highlight w:val="yellow"/>
        </w:rPr>
        <w:t>micro C</w:t>
      </w:r>
      <w:proofErr w:type="gramEnd"/>
      <w:r w:rsidRPr="00D04FD9">
        <w:rPr>
          <w:highlight w:val="yellow"/>
        </w:rPr>
        <w:t xml:space="preserve">&amp;I cases.  Currently, the only C&amp;I weatherization measure currently included is blower door / infiltration.  The study will review whether algorithms can be developed for, for instance, window / sliding glass door replacement, storm windows, insulated attic openings, wall/ceiling/floor insulation, HVAC, water heat, commercial kitchen or others. </w:t>
      </w:r>
    </w:p>
    <w:p w14:paraId="7B265170" w14:textId="5EA5473A" w:rsidR="0060253C" w:rsidRDefault="0060253C" w:rsidP="0060253C">
      <w:r w:rsidRPr="00D04FD9">
        <w:rPr>
          <w:highlight w:val="yellow"/>
        </w:rPr>
        <w:t>Budget and Start Year: $3</w:t>
      </w:r>
      <w:r w:rsidR="008306C8" w:rsidRPr="00D04FD9">
        <w:rPr>
          <w:highlight w:val="yellow"/>
        </w:rPr>
        <w:t>85</w:t>
      </w:r>
      <w:r w:rsidRPr="00D04FD9">
        <w:rPr>
          <w:highlight w:val="yellow"/>
        </w:rPr>
        <w:tab/>
        <w:t>2022</w:t>
      </w:r>
    </w:p>
    <w:p w14:paraId="080F4122" w14:textId="4AE9D531" w:rsidR="0060253C" w:rsidRDefault="0060253C" w:rsidP="0060253C"/>
    <w:p w14:paraId="4C426A2D" w14:textId="77777777" w:rsidR="0060253C" w:rsidRPr="00B74B05" w:rsidRDefault="0060253C" w:rsidP="0060253C">
      <w:pPr>
        <w:rPr>
          <w:b/>
          <w:bCs/>
        </w:rPr>
      </w:pPr>
      <w:r w:rsidRPr="00B74B05">
        <w:rPr>
          <w:b/>
          <w:bCs/>
        </w:rPr>
        <w:t>X2243</w:t>
      </w:r>
      <w:r w:rsidRPr="00B74B05">
        <w:rPr>
          <w:b/>
          <w:bCs/>
        </w:rPr>
        <w:tab/>
        <w:t>LAS</w:t>
      </w:r>
      <w:r w:rsidRPr="00B74B05">
        <w:rPr>
          <w:b/>
          <w:bCs/>
        </w:rPr>
        <w:tab/>
        <w:t>Topics</w:t>
      </w:r>
      <w:r w:rsidRPr="00B74B05">
        <w:rPr>
          <w:b/>
          <w:bCs/>
        </w:rPr>
        <w:tab/>
        <w:t>Effects of Discontinuing Gas Equipment incentives in R&amp;C HVAC &amp; DHW market</w:t>
      </w:r>
    </w:p>
    <w:p w14:paraId="2AF01C5C" w14:textId="77777777" w:rsidR="0060253C" w:rsidRDefault="0060253C" w:rsidP="0060253C">
      <w:r>
        <w:t xml:space="preserve">Outputs: Examine multiple effects associated with discontinuing gas equipment incentives in residential and commercial gas HVAC and DHW market for future planning, including specifically: stocking, sales, participation effects, and exploration of whether there is backsliding for sites with already-condensing equipment in place. </w:t>
      </w:r>
      <w:r>
        <w:tab/>
      </w:r>
    </w:p>
    <w:p w14:paraId="587CD15C" w14:textId="3457EBCD" w:rsidR="0060253C" w:rsidRDefault="0060253C" w:rsidP="0060253C">
      <w:r>
        <w:t xml:space="preserve">Description: The focus of this study is exploring an array of effects from potentially discontinuing gas equipment incentives in residential and gas HVAC and DHW market.  The key effects of interest include participation / installation of efficient gas equipment and code compliant equipment in total stocking and sales values.  Additionally, the study is interested in examining whether those with condensing equipment backslide or not.  The analysis is needed to support program / policy design.  These incentives have not yet been discontinued in CT, but MA has done so.  If CT has near-term plans to consider a similar policy, it makes sense to undertake a study, but it may need to rely on secondary analysis of what happened in MA.  If the policy change is not imminent, a more expedient design is to delay slightly and then undertake a joint study with MA.  The study will be hampered a bit because Hardi data collection is suspended, so it may be especially expedient to wait a little; </w:t>
      </w:r>
      <w:r w:rsidR="002D56EE">
        <w:t>however,</w:t>
      </w:r>
      <w:r>
        <w:t xml:space="preserve"> the proposers of the study expressed an urgency for the information.</w:t>
      </w:r>
      <w:r w:rsidR="002D56EE">
        <w:t xml:space="preserve">  These factors will be considered in study design.</w:t>
      </w:r>
      <w:r>
        <w:t xml:space="preserve">  </w:t>
      </w:r>
      <w:r>
        <w:tab/>
      </w:r>
    </w:p>
    <w:p w14:paraId="47788B64" w14:textId="77777777" w:rsidR="0060253C" w:rsidRDefault="0060253C" w:rsidP="0060253C">
      <w:r>
        <w:t>Budget and Start Year: $300</w:t>
      </w:r>
      <w:r>
        <w:tab/>
        <w:t>2023</w:t>
      </w:r>
    </w:p>
    <w:p w14:paraId="7688546A" w14:textId="77777777" w:rsidR="0060253C" w:rsidRDefault="0060253C" w:rsidP="0060253C"/>
    <w:p w14:paraId="671B6596" w14:textId="77777777" w:rsidR="0060253C" w:rsidRPr="00B74B05" w:rsidRDefault="0060253C" w:rsidP="0060253C">
      <w:pPr>
        <w:rPr>
          <w:b/>
          <w:bCs/>
        </w:rPr>
      </w:pPr>
      <w:r w:rsidRPr="00B74B05">
        <w:rPr>
          <w:b/>
          <w:bCs/>
        </w:rPr>
        <w:t>X2244</w:t>
      </w:r>
      <w:r w:rsidRPr="00B74B05">
        <w:rPr>
          <w:b/>
          <w:bCs/>
        </w:rPr>
        <w:tab/>
        <w:t>LAS</w:t>
      </w:r>
      <w:r w:rsidRPr="00B74B05">
        <w:rPr>
          <w:b/>
          <w:bCs/>
        </w:rPr>
        <w:tab/>
        <w:t>Topics</w:t>
      </w:r>
      <w:r w:rsidRPr="00B74B05">
        <w:rPr>
          <w:b/>
          <w:bCs/>
        </w:rPr>
        <w:tab/>
        <w:t>Review possible shift from EE to GHG policy integration goals and metrics at the State level.</w:t>
      </w:r>
      <w:r w:rsidRPr="00B74B05">
        <w:rPr>
          <w:b/>
          <w:bCs/>
        </w:rPr>
        <w:tab/>
      </w:r>
    </w:p>
    <w:p w14:paraId="211507BB" w14:textId="77777777" w:rsidR="0060253C" w:rsidRDefault="0060253C" w:rsidP="0060253C">
      <w:r>
        <w:t>Outputs: Examine options, transition issues and best practices for possible strategic transition in CT from EE to GHG focus in program development / delivery / direction.</w:t>
      </w:r>
      <w:r>
        <w:tab/>
        <w:t xml:space="preserve">Address roles, priorities and implications for existing EE programs / shift goals and metrics to GHG.  </w:t>
      </w:r>
    </w:p>
    <w:p w14:paraId="3ED65B6A" w14:textId="77777777" w:rsidR="0060253C" w:rsidRDefault="0060253C" w:rsidP="0060253C">
      <w:r>
        <w:t>Description: Review work in MA and other states and more broadly to provide information to support possible transition from EE to GHG metrics and program shifts. Provide advantages / disadvantages, transitions, issues of disruption and implementation, etc.  Include effects on programs, workforce, customers, stakeholders.</w:t>
      </w:r>
      <w:r>
        <w:tab/>
      </w:r>
    </w:p>
    <w:p w14:paraId="407DBA1D" w14:textId="77777777" w:rsidR="0060253C" w:rsidRDefault="0060253C" w:rsidP="0060253C">
      <w:r>
        <w:t>Budget and Start Year: $150</w:t>
      </w:r>
      <w:r>
        <w:tab/>
        <w:t>2022</w:t>
      </w:r>
    </w:p>
    <w:p w14:paraId="3259C4C0" w14:textId="77777777" w:rsidR="0060253C" w:rsidRDefault="0060253C" w:rsidP="0060253C"/>
    <w:p w14:paraId="38DDC7E7" w14:textId="77777777" w:rsidR="0060253C" w:rsidRPr="007E137D" w:rsidRDefault="0060253C" w:rsidP="0060253C">
      <w:pPr>
        <w:rPr>
          <w:b/>
          <w:bCs/>
        </w:rPr>
      </w:pPr>
      <w:r w:rsidRPr="007E137D">
        <w:rPr>
          <w:b/>
          <w:bCs/>
        </w:rPr>
        <w:t>R2245</w:t>
      </w:r>
      <w:r w:rsidRPr="007E137D">
        <w:rPr>
          <w:b/>
          <w:bCs/>
        </w:rPr>
        <w:tab/>
        <w:t>RW</w:t>
      </w:r>
      <w:r w:rsidRPr="007E137D">
        <w:rPr>
          <w:b/>
          <w:bCs/>
        </w:rPr>
        <w:tab/>
        <w:t xml:space="preserve">Topics </w:t>
      </w:r>
      <w:r w:rsidRPr="007E137D">
        <w:rPr>
          <w:b/>
          <w:bCs/>
        </w:rPr>
        <w:tab/>
        <w:t>Residential New Construction Cost-Effectiveness</w:t>
      </w:r>
      <w:r w:rsidRPr="007E137D">
        <w:rPr>
          <w:b/>
          <w:bCs/>
        </w:rPr>
        <w:tab/>
      </w:r>
    </w:p>
    <w:p w14:paraId="2F4AADB4" w14:textId="77777777" w:rsidR="0060253C" w:rsidRDefault="0060253C" w:rsidP="0060253C">
      <w:r>
        <w:t xml:space="preserve">Outputs: Adaptation of MA RNC Cost-effectiveness study to CT.  Stretch code in first and lifetime costs  </w:t>
      </w:r>
    </w:p>
    <w:p w14:paraId="5EF6A27D" w14:textId="77777777" w:rsidR="0060253C" w:rsidRDefault="0060253C" w:rsidP="0060253C">
      <w:r>
        <w:t>Description: This study is focused on providing very fast turnaround results, adjusting the MA results on this topic to fit CT conditions.</w:t>
      </w:r>
      <w:r>
        <w:tab/>
      </w:r>
    </w:p>
    <w:p w14:paraId="36C475EB" w14:textId="77777777" w:rsidR="0060253C" w:rsidRDefault="0060253C" w:rsidP="0060253C">
      <w:r>
        <w:t>Budget and Start Year: $40</w:t>
      </w:r>
      <w:r>
        <w:tab/>
        <w:t>2022</w:t>
      </w:r>
    </w:p>
    <w:p w14:paraId="29EC906A" w14:textId="77777777" w:rsidR="0060253C" w:rsidRDefault="0060253C" w:rsidP="0060253C"/>
    <w:p w14:paraId="736CF664" w14:textId="77777777" w:rsidR="0060253C" w:rsidRPr="007E137D" w:rsidRDefault="0060253C" w:rsidP="0060253C">
      <w:pPr>
        <w:rPr>
          <w:b/>
          <w:bCs/>
        </w:rPr>
      </w:pPr>
      <w:r w:rsidRPr="007E137D">
        <w:rPr>
          <w:b/>
          <w:bCs/>
        </w:rPr>
        <w:t>R2246</w:t>
      </w:r>
      <w:r w:rsidRPr="007E137D">
        <w:rPr>
          <w:b/>
          <w:bCs/>
        </w:rPr>
        <w:tab/>
        <w:t>RP</w:t>
      </w:r>
      <w:r w:rsidRPr="007E137D">
        <w:rPr>
          <w:b/>
          <w:bCs/>
        </w:rPr>
        <w:tab/>
        <w:t>Topics, Baselines</w:t>
      </w:r>
      <w:r w:rsidRPr="007E137D">
        <w:rPr>
          <w:b/>
          <w:bCs/>
        </w:rPr>
        <w:tab/>
        <w:t>Residential Heat Pump Study</w:t>
      </w:r>
      <w:r w:rsidRPr="007E137D">
        <w:rPr>
          <w:b/>
          <w:bCs/>
        </w:rPr>
        <w:tab/>
      </w:r>
    </w:p>
    <w:p w14:paraId="363549E6" w14:textId="77777777" w:rsidR="0060253C" w:rsidRDefault="0060253C" w:rsidP="0060253C">
      <w:r>
        <w:t>Outputs: Outputs focus on improvements to program design and savings estimation for residential heat pumps.</w:t>
      </w:r>
      <w:r>
        <w:tab/>
      </w:r>
    </w:p>
    <w:p w14:paraId="3560C1DD" w14:textId="77777777" w:rsidR="0060253C" w:rsidRDefault="0060253C" w:rsidP="0060253C">
      <w:r>
        <w:t>Description: This study will address the following research objectives pertaining to heat pumps and electrification in the residential sector: (1) perform field monitoring to assess the actual performance of the latest generation of residential heat pumps being supported by the programs, potentially including field monitoring of baseline technologies; (2) analyze baseline and attribution issues for residential heat pumps; and (3) provide periodic technical review of an evaluation being performed for Eversource of its 100 heat pump residential pilot.  As Massachusetts is also considering doing a residential heat pump field monitoring study similar project, there may be an opportunity for a joint two-state effort for that component.  Likely methods for this study include field monitoring, participant surveys, upstream interviews, and modeling.  The study will need to incorporate a thoughtful research design and prioritization efforts to target field monitoring efforts efficiently, given the variety of residential HP configurations (fossil fuels, technologies, baseline scenarios).</w:t>
      </w:r>
      <w:r>
        <w:tab/>
      </w:r>
    </w:p>
    <w:p w14:paraId="5BFA15CC" w14:textId="77777777" w:rsidR="0060253C" w:rsidRDefault="0060253C" w:rsidP="0060253C">
      <w:r>
        <w:t>Budget and Start Year: $1,150</w:t>
      </w:r>
      <w:r>
        <w:tab/>
        <w:t>2022</w:t>
      </w:r>
    </w:p>
    <w:p w14:paraId="4871352F" w14:textId="77777777" w:rsidR="0060253C" w:rsidRDefault="0060253C" w:rsidP="008A3769">
      <w:pPr>
        <w:spacing w:after="0"/>
        <w:rPr>
          <w:i/>
          <w:sz w:val="20"/>
        </w:rPr>
      </w:pPr>
    </w:p>
    <w:sectPr w:rsidR="0060253C" w:rsidSect="00695A41">
      <w:pgSz w:w="12240" w:h="15840"/>
      <w:pgMar w:top="1440" w:right="1008" w:bottom="1152" w:left="100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FB766" w14:textId="77777777" w:rsidR="00C97DF0" w:rsidRDefault="00C97DF0" w:rsidP="00555A7E">
      <w:pPr>
        <w:spacing w:after="0" w:line="240" w:lineRule="auto"/>
      </w:pPr>
      <w:r>
        <w:separator/>
      </w:r>
    </w:p>
  </w:endnote>
  <w:endnote w:type="continuationSeparator" w:id="0">
    <w:p w14:paraId="3AE05013" w14:textId="77777777" w:rsidR="00C97DF0" w:rsidRDefault="00C97DF0" w:rsidP="00555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5737257"/>
      <w:docPartObj>
        <w:docPartGallery w:val="Page Numbers (Bottom of Page)"/>
        <w:docPartUnique/>
      </w:docPartObj>
    </w:sdtPr>
    <w:sdtEndPr>
      <w:rPr>
        <w:color w:val="7F7F7F" w:themeColor="background1" w:themeShade="7F"/>
      </w:rPr>
    </w:sdtEndPr>
    <w:sdtContent>
      <w:p w14:paraId="0901250F" w14:textId="61B5F2F2" w:rsidR="004F4F0D" w:rsidRPr="00E66E06" w:rsidRDefault="004F4F0D">
        <w:pPr>
          <w:pStyle w:val="Footer"/>
          <w:pBdr>
            <w:top w:val="single" w:sz="4" w:space="1" w:color="D9D9D9" w:themeColor="background1" w:themeShade="D9"/>
          </w:pBdr>
          <w:rPr>
            <w:b/>
            <w:bCs/>
          </w:rPr>
        </w:pPr>
        <w:r w:rsidRPr="00E66E06">
          <w:fldChar w:fldCharType="begin"/>
        </w:r>
        <w:r w:rsidRPr="00E66E06">
          <w:instrText xml:space="preserve"> PAGE   \* MERGEFORMAT </w:instrText>
        </w:r>
        <w:r w:rsidRPr="00E66E06">
          <w:fldChar w:fldCharType="separate"/>
        </w:r>
        <w:r w:rsidRPr="00E238EC">
          <w:rPr>
            <w:b/>
            <w:bCs/>
            <w:noProof/>
          </w:rPr>
          <w:t>14</w:t>
        </w:r>
        <w:r w:rsidRPr="00E66E06">
          <w:rPr>
            <w:b/>
            <w:bCs/>
            <w:noProof/>
          </w:rPr>
          <w:fldChar w:fldCharType="end"/>
        </w:r>
        <w:r w:rsidRPr="00E66E06">
          <w:rPr>
            <w:b/>
            <w:bCs/>
          </w:rPr>
          <w:t xml:space="preserve"> | </w:t>
        </w:r>
        <w:r w:rsidRPr="00E66E06">
          <w:rPr>
            <w:color w:val="7F7F7F" w:themeColor="background1" w:themeShade="7F"/>
          </w:rPr>
          <w:t>Page               CTEEB 20</w:t>
        </w:r>
        <w:r w:rsidR="00C94747">
          <w:rPr>
            <w:color w:val="7F7F7F" w:themeColor="background1" w:themeShade="7F"/>
          </w:rPr>
          <w:t>22</w:t>
        </w:r>
        <w:r w:rsidRPr="00E66E06">
          <w:rPr>
            <w:color w:val="7F7F7F" w:themeColor="background1" w:themeShade="7F"/>
          </w:rPr>
          <w:t>-2</w:t>
        </w:r>
        <w:r w:rsidR="00C94747">
          <w:rPr>
            <w:color w:val="7F7F7F" w:themeColor="background1" w:themeShade="7F"/>
          </w:rPr>
          <w:t>4</w:t>
        </w:r>
        <w:r w:rsidRPr="00E66E06">
          <w:rPr>
            <w:color w:val="7F7F7F" w:themeColor="background1" w:themeShade="7F"/>
          </w:rPr>
          <w:t xml:space="preserve"> </w:t>
        </w:r>
        <w:r w:rsidR="00C94747">
          <w:rPr>
            <w:color w:val="7F7F7F" w:themeColor="background1" w:themeShade="7F"/>
          </w:rPr>
          <w:t xml:space="preserve">Three Year </w:t>
        </w:r>
        <w:r w:rsidRPr="00E66E06">
          <w:rPr>
            <w:color w:val="7F7F7F" w:themeColor="background1" w:themeShade="7F"/>
          </w:rPr>
          <w:t xml:space="preserve">Evaluation Plan </w:t>
        </w:r>
      </w:p>
    </w:sdtContent>
  </w:sdt>
  <w:p w14:paraId="0BF762CE" w14:textId="77777777" w:rsidR="004F4F0D" w:rsidRPr="00E66E06" w:rsidRDefault="004F4F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88FB2" w14:textId="77777777" w:rsidR="00C97DF0" w:rsidRDefault="00C97DF0" w:rsidP="00555A7E">
      <w:pPr>
        <w:spacing w:after="0" w:line="240" w:lineRule="auto"/>
      </w:pPr>
      <w:r>
        <w:separator/>
      </w:r>
    </w:p>
  </w:footnote>
  <w:footnote w:type="continuationSeparator" w:id="0">
    <w:p w14:paraId="174A8E9B" w14:textId="77777777" w:rsidR="00C97DF0" w:rsidRDefault="00C97DF0" w:rsidP="00555A7E">
      <w:pPr>
        <w:spacing w:after="0" w:line="240" w:lineRule="auto"/>
      </w:pPr>
      <w:r>
        <w:continuationSeparator/>
      </w:r>
    </w:p>
  </w:footnote>
  <w:footnote w:id="1">
    <w:p w14:paraId="7B235A97" w14:textId="27EA3C80" w:rsidR="00FD6E88" w:rsidRDefault="00FD6E88">
      <w:pPr>
        <w:pStyle w:val="FootnoteText"/>
      </w:pPr>
      <w:r>
        <w:rPr>
          <w:rStyle w:val="FootnoteReference"/>
        </w:rPr>
        <w:footnoteRef/>
      </w:r>
      <w:r>
        <w:t xml:space="preserve"> This low value was partly influenced by the last year of effects from the budget sweep.</w:t>
      </w:r>
    </w:p>
  </w:footnote>
  <w:footnote w:id="2">
    <w:p w14:paraId="4CBE119D" w14:textId="77777777" w:rsidR="00023B4F" w:rsidRPr="00BC41C5" w:rsidRDefault="00023B4F" w:rsidP="00023B4F">
      <w:pPr>
        <w:pStyle w:val="FootnoteText"/>
        <w:rPr>
          <w:sz w:val="19"/>
          <w:szCs w:val="19"/>
        </w:rPr>
      </w:pPr>
      <w:r w:rsidRPr="00BC41C5">
        <w:rPr>
          <w:rStyle w:val="FootnoteReference"/>
          <w:sz w:val="19"/>
          <w:szCs w:val="19"/>
        </w:rPr>
        <w:footnoteRef/>
      </w:r>
      <w:r w:rsidRPr="00BC41C5">
        <w:rPr>
          <w:sz w:val="19"/>
          <w:szCs w:val="19"/>
        </w:rPr>
        <w:t xml:space="preserve"> Note, the projects that were discussed in the Committee meeting had the following dispositions out of that meeting:  Remained essentially the same: Studies R2220, X2224, X2233.  Refocused study to controls: C2207.  Renamed and some clarification of focus: X2208.  Cut study:  R2228 on power strips.  Retained as priorities, clarified study will rely on adjustment of MA numbers: X2239.  Moved to later year and reduced budget to allow more time for where the state will be on the issue:  X2240.</w:t>
      </w:r>
    </w:p>
  </w:footnote>
  <w:footnote w:id="3">
    <w:p w14:paraId="30E5FC6F" w14:textId="77777777" w:rsidR="00B930AC" w:rsidRDefault="00B930AC" w:rsidP="00B930AC">
      <w:pPr>
        <w:pStyle w:val="FootnoteText"/>
      </w:pPr>
      <w:r>
        <w:rPr>
          <w:rStyle w:val="FootnoteReference"/>
        </w:rPr>
        <w:footnoteRef/>
      </w:r>
      <w:r>
        <w:t xml:space="preserve"> This low value was partly influenced by the last year of effects from the budget sweep.</w:t>
      </w:r>
    </w:p>
  </w:footnote>
  <w:footnote w:id="4">
    <w:p w14:paraId="683AE74D" w14:textId="77777777" w:rsidR="00301EFF" w:rsidRPr="0061011F" w:rsidRDefault="00301EFF" w:rsidP="00301EFF">
      <w:pPr>
        <w:pStyle w:val="FootnoteText"/>
        <w:rPr>
          <w:sz w:val="18"/>
          <w:szCs w:val="16"/>
        </w:rPr>
      </w:pPr>
      <w:r w:rsidRPr="0061011F">
        <w:rPr>
          <w:rStyle w:val="FootnoteReference"/>
          <w:sz w:val="18"/>
          <w:szCs w:val="16"/>
        </w:rPr>
        <w:footnoteRef/>
      </w:r>
      <w:r w:rsidRPr="0061011F">
        <w:rPr>
          <w:sz w:val="18"/>
          <w:szCs w:val="16"/>
        </w:rPr>
        <w:t xml:space="preserve"> Note that the Phase 2 of the Data project is retained in the list, but at zero funding – with that budget, action steps, and source for the funding to be discu</w:t>
      </w:r>
      <w:r>
        <w:rPr>
          <w:sz w:val="18"/>
          <w:szCs w:val="16"/>
        </w:rPr>
        <w:t>s</w:t>
      </w:r>
      <w:r w:rsidRPr="0061011F">
        <w:rPr>
          <w:sz w:val="18"/>
          <w:szCs w:val="16"/>
        </w:rPr>
        <w:t>sed in a later year / later Evaluation Plan Update.</w:t>
      </w:r>
    </w:p>
  </w:footnote>
  <w:footnote w:id="5">
    <w:p w14:paraId="33E9DD40" w14:textId="77777777" w:rsidR="004F4F0D" w:rsidRDefault="004F4F0D">
      <w:pPr>
        <w:pStyle w:val="FootnoteText"/>
      </w:pPr>
      <w:r>
        <w:rPr>
          <w:rStyle w:val="FootnoteReference"/>
        </w:rPr>
        <w:footnoteRef/>
      </w:r>
      <w:r>
        <w:t xml:space="preserve"> Contracted totals are developed after the RFPs are released, scored, and selected.  We recognize the overall contract total must be no larger than the adopted plan total.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605A8"/>
    <w:multiLevelType w:val="hybridMultilevel"/>
    <w:tmpl w:val="3C0E7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5D038C"/>
    <w:multiLevelType w:val="hybridMultilevel"/>
    <w:tmpl w:val="79ECD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B8186B"/>
    <w:multiLevelType w:val="hybridMultilevel"/>
    <w:tmpl w:val="0FDE15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5455B1"/>
    <w:multiLevelType w:val="hybridMultilevel"/>
    <w:tmpl w:val="3D52F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0F40D3"/>
    <w:multiLevelType w:val="hybridMultilevel"/>
    <w:tmpl w:val="4D60B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EF0C16"/>
    <w:multiLevelType w:val="hybridMultilevel"/>
    <w:tmpl w:val="2B50FA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BD02D3"/>
    <w:multiLevelType w:val="hybridMultilevel"/>
    <w:tmpl w:val="07246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962AD1"/>
    <w:multiLevelType w:val="hybridMultilevel"/>
    <w:tmpl w:val="E0ACA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7B2062"/>
    <w:multiLevelType w:val="hybridMultilevel"/>
    <w:tmpl w:val="2A8A54E4"/>
    <w:lvl w:ilvl="0" w:tplc="248EBAEC">
      <w:start w:val="1"/>
      <w:numFmt w:val="bullet"/>
      <w:lvlText w:val=""/>
      <w:lvlJc w:val="left"/>
      <w:pPr>
        <w:tabs>
          <w:tab w:val="num" w:pos="720"/>
        </w:tabs>
        <w:ind w:left="720" w:hanging="360"/>
      </w:pPr>
      <w:rPr>
        <w:rFonts w:ascii="Wingdings" w:hAnsi="Wingdings" w:hint="default"/>
      </w:rPr>
    </w:lvl>
    <w:lvl w:ilvl="1" w:tplc="638A351A">
      <w:start w:val="210"/>
      <w:numFmt w:val="bullet"/>
      <w:lvlText w:val=""/>
      <w:lvlJc w:val="left"/>
      <w:pPr>
        <w:tabs>
          <w:tab w:val="num" w:pos="1440"/>
        </w:tabs>
        <w:ind w:left="1440" w:hanging="360"/>
      </w:pPr>
      <w:rPr>
        <w:rFonts w:ascii="Wingdings" w:hAnsi="Wingdings" w:hint="default"/>
      </w:rPr>
    </w:lvl>
    <w:lvl w:ilvl="2" w:tplc="AD7E4A76" w:tentative="1">
      <w:start w:val="1"/>
      <w:numFmt w:val="bullet"/>
      <w:lvlText w:val=""/>
      <w:lvlJc w:val="left"/>
      <w:pPr>
        <w:tabs>
          <w:tab w:val="num" w:pos="2160"/>
        </w:tabs>
        <w:ind w:left="2160" w:hanging="360"/>
      </w:pPr>
      <w:rPr>
        <w:rFonts w:ascii="Wingdings" w:hAnsi="Wingdings" w:hint="default"/>
      </w:rPr>
    </w:lvl>
    <w:lvl w:ilvl="3" w:tplc="FB84AEE2" w:tentative="1">
      <w:start w:val="1"/>
      <w:numFmt w:val="bullet"/>
      <w:lvlText w:val=""/>
      <w:lvlJc w:val="left"/>
      <w:pPr>
        <w:tabs>
          <w:tab w:val="num" w:pos="2880"/>
        </w:tabs>
        <w:ind w:left="2880" w:hanging="360"/>
      </w:pPr>
      <w:rPr>
        <w:rFonts w:ascii="Wingdings" w:hAnsi="Wingdings" w:hint="default"/>
      </w:rPr>
    </w:lvl>
    <w:lvl w:ilvl="4" w:tplc="BF049D96" w:tentative="1">
      <w:start w:val="1"/>
      <w:numFmt w:val="bullet"/>
      <w:lvlText w:val=""/>
      <w:lvlJc w:val="left"/>
      <w:pPr>
        <w:tabs>
          <w:tab w:val="num" w:pos="3600"/>
        </w:tabs>
        <w:ind w:left="3600" w:hanging="360"/>
      </w:pPr>
      <w:rPr>
        <w:rFonts w:ascii="Wingdings" w:hAnsi="Wingdings" w:hint="default"/>
      </w:rPr>
    </w:lvl>
    <w:lvl w:ilvl="5" w:tplc="E9644C8E" w:tentative="1">
      <w:start w:val="1"/>
      <w:numFmt w:val="bullet"/>
      <w:lvlText w:val=""/>
      <w:lvlJc w:val="left"/>
      <w:pPr>
        <w:tabs>
          <w:tab w:val="num" w:pos="4320"/>
        </w:tabs>
        <w:ind w:left="4320" w:hanging="360"/>
      </w:pPr>
      <w:rPr>
        <w:rFonts w:ascii="Wingdings" w:hAnsi="Wingdings" w:hint="default"/>
      </w:rPr>
    </w:lvl>
    <w:lvl w:ilvl="6" w:tplc="46DA6A26" w:tentative="1">
      <w:start w:val="1"/>
      <w:numFmt w:val="bullet"/>
      <w:lvlText w:val=""/>
      <w:lvlJc w:val="left"/>
      <w:pPr>
        <w:tabs>
          <w:tab w:val="num" w:pos="5040"/>
        </w:tabs>
        <w:ind w:left="5040" w:hanging="360"/>
      </w:pPr>
      <w:rPr>
        <w:rFonts w:ascii="Wingdings" w:hAnsi="Wingdings" w:hint="default"/>
      </w:rPr>
    </w:lvl>
    <w:lvl w:ilvl="7" w:tplc="B8E82F92" w:tentative="1">
      <w:start w:val="1"/>
      <w:numFmt w:val="bullet"/>
      <w:lvlText w:val=""/>
      <w:lvlJc w:val="left"/>
      <w:pPr>
        <w:tabs>
          <w:tab w:val="num" w:pos="5760"/>
        </w:tabs>
        <w:ind w:left="5760" w:hanging="360"/>
      </w:pPr>
      <w:rPr>
        <w:rFonts w:ascii="Wingdings" w:hAnsi="Wingdings" w:hint="default"/>
      </w:rPr>
    </w:lvl>
    <w:lvl w:ilvl="8" w:tplc="77009E1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A32685"/>
    <w:multiLevelType w:val="hybridMultilevel"/>
    <w:tmpl w:val="1F72B8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C755D7"/>
    <w:multiLevelType w:val="hybridMultilevel"/>
    <w:tmpl w:val="CC30F578"/>
    <w:lvl w:ilvl="0" w:tplc="B34019E0">
      <w:start w:val="1"/>
      <w:numFmt w:val="bullet"/>
      <w:lvlText w:val=""/>
      <w:lvlJc w:val="left"/>
      <w:pPr>
        <w:tabs>
          <w:tab w:val="num" w:pos="720"/>
        </w:tabs>
        <w:ind w:left="720" w:hanging="360"/>
      </w:pPr>
      <w:rPr>
        <w:rFonts w:ascii="Wingdings" w:hAnsi="Wingdings" w:hint="default"/>
      </w:rPr>
    </w:lvl>
    <w:lvl w:ilvl="1" w:tplc="F3326BFE">
      <w:start w:val="210"/>
      <w:numFmt w:val="bullet"/>
      <w:lvlText w:val=""/>
      <w:lvlJc w:val="left"/>
      <w:pPr>
        <w:tabs>
          <w:tab w:val="num" w:pos="1440"/>
        </w:tabs>
        <w:ind w:left="1440" w:hanging="360"/>
      </w:pPr>
      <w:rPr>
        <w:rFonts w:ascii="Wingdings" w:hAnsi="Wingdings" w:hint="default"/>
      </w:rPr>
    </w:lvl>
    <w:lvl w:ilvl="2" w:tplc="4C50239C" w:tentative="1">
      <w:start w:val="1"/>
      <w:numFmt w:val="bullet"/>
      <w:lvlText w:val=""/>
      <w:lvlJc w:val="left"/>
      <w:pPr>
        <w:tabs>
          <w:tab w:val="num" w:pos="2160"/>
        </w:tabs>
        <w:ind w:left="2160" w:hanging="360"/>
      </w:pPr>
      <w:rPr>
        <w:rFonts w:ascii="Wingdings" w:hAnsi="Wingdings" w:hint="default"/>
      </w:rPr>
    </w:lvl>
    <w:lvl w:ilvl="3" w:tplc="7BFE4EBA" w:tentative="1">
      <w:start w:val="1"/>
      <w:numFmt w:val="bullet"/>
      <w:lvlText w:val=""/>
      <w:lvlJc w:val="left"/>
      <w:pPr>
        <w:tabs>
          <w:tab w:val="num" w:pos="2880"/>
        </w:tabs>
        <w:ind w:left="2880" w:hanging="360"/>
      </w:pPr>
      <w:rPr>
        <w:rFonts w:ascii="Wingdings" w:hAnsi="Wingdings" w:hint="default"/>
      </w:rPr>
    </w:lvl>
    <w:lvl w:ilvl="4" w:tplc="9AD09DFE" w:tentative="1">
      <w:start w:val="1"/>
      <w:numFmt w:val="bullet"/>
      <w:lvlText w:val=""/>
      <w:lvlJc w:val="left"/>
      <w:pPr>
        <w:tabs>
          <w:tab w:val="num" w:pos="3600"/>
        </w:tabs>
        <w:ind w:left="3600" w:hanging="360"/>
      </w:pPr>
      <w:rPr>
        <w:rFonts w:ascii="Wingdings" w:hAnsi="Wingdings" w:hint="default"/>
      </w:rPr>
    </w:lvl>
    <w:lvl w:ilvl="5" w:tplc="9EC69B0E" w:tentative="1">
      <w:start w:val="1"/>
      <w:numFmt w:val="bullet"/>
      <w:lvlText w:val=""/>
      <w:lvlJc w:val="left"/>
      <w:pPr>
        <w:tabs>
          <w:tab w:val="num" w:pos="4320"/>
        </w:tabs>
        <w:ind w:left="4320" w:hanging="360"/>
      </w:pPr>
      <w:rPr>
        <w:rFonts w:ascii="Wingdings" w:hAnsi="Wingdings" w:hint="default"/>
      </w:rPr>
    </w:lvl>
    <w:lvl w:ilvl="6" w:tplc="E76EE504" w:tentative="1">
      <w:start w:val="1"/>
      <w:numFmt w:val="bullet"/>
      <w:lvlText w:val=""/>
      <w:lvlJc w:val="left"/>
      <w:pPr>
        <w:tabs>
          <w:tab w:val="num" w:pos="5040"/>
        </w:tabs>
        <w:ind w:left="5040" w:hanging="360"/>
      </w:pPr>
      <w:rPr>
        <w:rFonts w:ascii="Wingdings" w:hAnsi="Wingdings" w:hint="default"/>
      </w:rPr>
    </w:lvl>
    <w:lvl w:ilvl="7" w:tplc="5030D9B2" w:tentative="1">
      <w:start w:val="1"/>
      <w:numFmt w:val="bullet"/>
      <w:lvlText w:val=""/>
      <w:lvlJc w:val="left"/>
      <w:pPr>
        <w:tabs>
          <w:tab w:val="num" w:pos="5760"/>
        </w:tabs>
        <w:ind w:left="5760" w:hanging="360"/>
      </w:pPr>
      <w:rPr>
        <w:rFonts w:ascii="Wingdings" w:hAnsi="Wingdings" w:hint="default"/>
      </w:rPr>
    </w:lvl>
    <w:lvl w:ilvl="8" w:tplc="1E2A865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17814"/>
    <w:multiLevelType w:val="hybridMultilevel"/>
    <w:tmpl w:val="C01EF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997C02"/>
    <w:multiLevelType w:val="hybridMultilevel"/>
    <w:tmpl w:val="5A668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8530AB"/>
    <w:multiLevelType w:val="hybridMultilevel"/>
    <w:tmpl w:val="8EC8F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B15E1F"/>
    <w:multiLevelType w:val="hybridMultilevel"/>
    <w:tmpl w:val="2A8A5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6B3F62"/>
    <w:multiLevelType w:val="multilevel"/>
    <w:tmpl w:val="7D18A7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78CC012E"/>
    <w:multiLevelType w:val="hybridMultilevel"/>
    <w:tmpl w:val="FF6EB4C8"/>
    <w:lvl w:ilvl="0" w:tplc="F2EA8F18">
      <w:start w:val="1"/>
      <w:numFmt w:val="bullet"/>
      <w:lvlText w:val=""/>
      <w:lvlJc w:val="left"/>
      <w:pPr>
        <w:tabs>
          <w:tab w:val="num" w:pos="720"/>
        </w:tabs>
        <w:ind w:left="720" w:hanging="360"/>
      </w:pPr>
      <w:rPr>
        <w:rFonts w:ascii="Wingdings" w:hAnsi="Wingdings" w:hint="default"/>
      </w:rPr>
    </w:lvl>
    <w:lvl w:ilvl="1" w:tplc="30EC2B62">
      <w:start w:val="210"/>
      <w:numFmt w:val="bullet"/>
      <w:lvlText w:val=""/>
      <w:lvlJc w:val="left"/>
      <w:pPr>
        <w:tabs>
          <w:tab w:val="num" w:pos="1440"/>
        </w:tabs>
        <w:ind w:left="1440" w:hanging="360"/>
      </w:pPr>
      <w:rPr>
        <w:rFonts w:ascii="Wingdings" w:hAnsi="Wingdings" w:hint="default"/>
      </w:rPr>
    </w:lvl>
    <w:lvl w:ilvl="2" w:tplc="9F142AB6">
      <w:start w:val="210"/>
      <w:numFmt w:val="bullet"/>
      <w:lvlText w:val=""/>
      <w:lvlJc w:val="left"/>
      <w:pPr>
        <w:tabs>
          <w:tab w:val="num" w:pos="2160"/>
        </w:tabs>
        <w:ind w:left="2160" w:hanging="360"/>
      </w:pPr>
      <w:rPr>
        <w:rFonts w:ascii="Wingdings" w:hAnsi="Wingdings" w:hint="default"/>
      </w:rPr>
    </w:lvl>
    <w:lvl w:ilvl="3" w:tplc="D2F0D3F2" w:tentative="1">
      <w:start w:val="1"/>
      <w:numFmt w:val="bullet"/>
      <w:lvlText w:val=""/>
      <w:lvlJc w:val="left"/>
      <w:pPr>
        <w:tabs>
          <w:tab w:val="num" w:pos="2880"/>
        </w:tabs>
        <w:ind w:left="2880" w:hanging="360"/>
      </w:pPr>
      <w:rPr>
        <w:rFonts w:ascii="Wingdings" w:hAnsi="Wingdings" w:hint="default"/>
      </w:rPr>
    </w:lvl>
    <w:lvl w:ilvl="4" w:tplc="A29265AA" w:tentative="1">
      <w:start w:val="1"/>
      <w:numFmt w:val="bullet"/>
      <w:lvlText w:val=""/>
      <w:lvlJc w:val="left"/>
      <w:pPr>
        <w:tabs>
          <w:tab w:val="num" w:pos="3600"/>
        </w:tabs>
        <w:ind w:left="3600" w:hanging="360"/>
      </w:pPr>
      <w:rPr>
        <w:rFonts w:ascii="Wingdings" w:hAnsi="Wingdings" w:hint="default"/>
      </w:rPr>
    </w:lvl>
    <w:lvl w:ilvl="5" w:tplc="B2447EFE" w:tentative="1">
      <w:start w:val="1"/>
      <w:numFmt w:val="bullet"/>
      <w:lvlText w:val=""/>
      <w:lvlJc w:val="left"/>
      <w:pPr>
        <w:tabs>
          <w:tab w:val="num" w:pos="4320"/>
        </w:tabs>
        <w:ind w:left="4320" w:hanging="360"/>
      </w:pPr>
      <w:rPr>
        <w:rFonts w:ascii="Wingdings" w:hAnsi="Wingdings" w:hint="default"/>
      </w:rPr>
    </w:lvl>
    <w:lvl w:ilvl="6" w:tplc="6D42E2AC" w:tentative="1">
      <w:start w:val="1"/>
      <w:numFmt w:val="bullet"/>
      <w:lvlText w:val=""/>
      <w:lvlJc w:val="left"/>
      <w:pPr>
        <w:tabs>
          <w:tab w:val="num" w:pos="5040"/>
        </w:tabs>
        <w:ind w:left="5040" w:hanging="360"/>
      </w:pPr>
      <w:rPr>
        <w:rFonts w:ascii="Wingdings" w:hAnsi="Wingdings" w:hint="default"/>
      </w:rPr>
    </w:lvl>
    <w:lvl w:ilvl="7" w:tplc="7480DDE2" w:tentative="1">
      <w:start w:val="1"/>
      <w:numFmt w:val="bullet"/>
      <w:lvlText w:val=""/>
      <w:lvlJc w:val="left"/>
      <w:pPr>
        <w:tabs>
          <w:tab w:val="num" w:pos="5760"/>
        </w:tabs>
        <w:ind w:left="5760" w:hanging="360"/>
      </w:pPr>
      <w:rPr>
        <w:rFonts w:ascii="Wingdings" w:hAnsi="Wingdings" w:hint="default"/>
      </w:rPr>
    </w:lvl>
    <w:lvl w:ilvl="8" w:tplc="AA4CA1C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B77694A"/>
    <w:multiLevelType w:val="hybridMultilevel"/>
    <w:tmpl w:val="868AC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5"/>
  </w:num>
  <w:num w:numId="4">
    <w:abstractNumId w:val="16"/>
  </w:num>
  <w:num w:numId="5">
    <w:abstractNumId w:val="10"/>
  </w:num>
  <w:num w:numId="6">
    <w:abstractNumId w:val="8"/>
  </w:num>
  <w:num w:numId="7">
    <w:abstractNumId w:val="11"/>
  </w:num>
  <w:num w:numId="8">
    <w:abstractNumId w:val="0"/>
  </w:num>
  <w:num w:numId="9">
    <w:abstractNumId w:val="9"/>
  </w:num>
  <w:num w:numId="10">
    <w:abstractNumId w:val="3"/>
  </w:num>
  <w:num w:numId="11">
    <w:abstractNumId w:val="6"/>
  </w:num>
  <w:num w:numId="12">
    <w:abstractNumId w:val="14"/>
  </w:num>
  <w:num w:numId="13">
    <w:abstractNumId w:val="4"/>
  </w:num>
  <w:num w:numId="14">
    <w:abstractNumId w:val="1"/>
  </w:num>
  <w:num w:numId="15">
    <w:abstractNumId w:val="15"/>
  </w:num>
  <w:num w:numId="16">
    <w:abstractNumId w:val="7"/>
  </w:num>
  <w:num w:numId="17">
    <w:abstractNumId w:val="1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611"/>
    <w:rsid w:val="000016D3"/>
    <w:rsid w:val="00001AB1"/>
    <w:rsid w:val="0000627E"/>
    <w:rsid w:val="00010AA1"/>
    <w:rsid w:val="00010F86"/>
    <w:rsid w:val="000138A3"/>
    <w:rsid w:val="0001398A"/>
    <w:rsid w:val="00013FAB"/>
    <w:rsid w:val="00016863"/>
    <w:rsid w:val="000172C5"/>
    <w:rsid w:val="00023B4F"/>
    <w:rsid w:val="00023E86"/>
    <w:rsid w:val="00025945"/>
    <w:rsid w:val="000269B5"/>
    <w:rsid w:val="00026CD7"/>
    <w:rsid w:val="000304EE"/>
    <w:rsid w:val="00031B23"/>
    <w:rsid w:val="00034B06"/>
    <w:rsid w:val="00044B58"/>
    <w:rsid w:val="00046BDB"/>
    <w:rsid w:val="0005038E"/>
    <w:rsid w:val="0005206B"/>
    <w:rsid w:val="00053CEB"/>
    <w:rsid w:val="00055D34"/>
    <w:rsid w:val="00060491"/>
    <w:rsid w:val="000636BF"/>
    <w:rsid w:val="00063782"/>
    <w:rsid w:val="00063D0B"/>
    <w:rsid w:val="00065D57"/>
    <w:rsid w:val="000665CA"/>
    <w:rsid w:val="000669FC"/>
    <w:rsid w:val="00067C68"/>
    <w:rsid w:val="0007135B"/>
    <w:rsid w:val="0007364F"/>
    <w:rsid w:val="0008174D"/>
    <w:rsid w:val="00083112"/>
    <w:rsid w:val="0008408B"/>
    <w:rsid w:val="00084200"/>
    <w:rsid w:val="0008525B"/>
    <w:rsid w:val="00086055"/>
    <w:rsid w:val="000912C9"/>
    <w:rsid w:val="00093D99"/>
    <w:rsid w:val="000958BD"/>
    <w:rsid w:val="000A05FF"/>
    <w:rsid w:val="000A2B5E"/>
    <w:rsid w:val="000A3E0E"/>
    <w:rsid w:val="000A456D"/>
    <w:rsid w:val="000A5BDC"/>
    <w:rsid w:val="000A6C1D"/>
    <w:rsid w:val="000A7D8E"/>
    <w:rsid w:val="000B30F5"/>
    <w:rsid w:val="000B3AC7"/>
    <w:rsid w:val="000B5934"/>
    <w:rsid w:val="000B6756"/>
    <w:rsid w:val="000C2202"/>
    <w:rsid w:val="000C44F3"/>
    <w:rsid w:val="000C6395"/>
    <w:rsid w:val="000D08C0"/>
    <w:rsid w:val="000D0B75"/>
    <w:rsid w:val="000D30C1"/>
    <w:rsid w:val="000D4B49"/>
    <w:rsid w:val="000D5243"/>
    <w:rsid w:val="000D6028"/>
    <w:rsid w:val="000D71C9"/>
    <w:rsid w:val="000D7BA7"/>
    <w:rsid w:val="000E108C"/>
    <w:rsid w:val="000E2805"/>
    <w:rsid w:val="000E415F"/>
    <w:rsid w:val="000E452D"/>
    <w:rsid w:val="000E4F66"/>
    <w:rsid w:val="000E5E06"/>
    <w:rsid w:val="000E691B"/>
    <w:rsid w:val="000F6B58"/>
    <w:rsid w:val="000F7AF6"/>
    <w:rsid w:val="00103E96"/>
    <w:rsid w:val="0010564B"/>
    <w:rsid w:val="00105B2E"/>
    <w:rsid w:val="00106069"/>
    <w:rsid w:val="00111BDD"/>
    <w:rsid w:val="001133EE"/>
    <w:rsid w:val="00114A5B"/>
    <w:rsid w:val="00115002"/>
    <w:rsid w:val="00117C3F"/>
    <w:rsid w:val="00123EF8"/>
    <w:rsid w:val="001242AA"/>
    <w:rsid w:val="001252F0"/>
    <w:rsid w:val="00125D83"/>
    <w:rsid w:val="001272A7"/>
    <w:rsid w:val="001272CF"/>
    <w:rsid w:val="00127458"/>
    <w:rsid w:val="001314A6"/>
    <w:rsid w:val="00131B1F"/>
    <w:rsid w:val="001321D6"/>
    <w:rsid w:val="00132E95"/>
    <w:rsid w:val="00132F1D"/>
    <w:rsid w:val="00133B06"/>
    <w:rsid w:val="0013709B"/>
    <w:rsid w:val="00140CB5"/>
    <w:rsid w:val="00143437"/>
    <w:rsid w:val="0014396A"/>
    <w:rsid w:val="00152499"/>
    <w:rsid w:val="00154235"/>
    <w:rsid w:val="0015517C"/>
    <w:rsid w:val="00157BE0"/>
    <w:rsid w:val="00162682"/>
    <w:rsid w:val="001635AC"/>
    <w:rsid w:val="00165C68"/>
    <w:rsid w:val="00167877"/>
    <w:rsid w:val="0016790A"/>
    <w:rsid w:val="00173E74"/>
    <w:rsid w:val="00173F24"/>
    <w:rsid w:val="00176B24"/>
    <w:rsid w:val="00184855"/>
    <w:rsid w:val="00185323"/>
    <w:rsid w:val="001903C3"/>
    <w:rsid w:val="00191053"/>
    <w:rsid w:val="0019178F"/>
    <w:rsid w:val="00193645"/>
    <w:rsid w:val="00194173"/>
    <w:rsid w:val="001A34BE"/>
    <w:rsid w:val="001A420C"/>
    <w:rsid w:val="001A49F4"/>
    <w:rsid w:val="001A646C"/>
    <w:rsid w:val="001A75F6"/>
    <w:rsid w:val="001B0125"/>
    <w:rsid w:val="001C1DA8"/>
    <w:rsid w:val="001C5E63"/>
    <w:rsid w:val="001D4C0D"/>
    <w:rsid w:val="001D5FE3"/>
    <w:rsid w:val="001E4783"/>
    <w:rsid w:val="001E5C4E"/>
    <w:rsid w:val="001E5D63"/>
    <w:rsid w:val="001F1786"/>
    <w:rsid w:val="001F3D49"/>
    <w:rsid w:val="001F52FC"/>
    <w:rsid w:val="001F6D48"/>
    <w:rsid w:val="0020129E"/>
    <w:rsid w:val="0020275B"/>
    <w:rsid w:val="00203AA7"/>
    <w:rsid w:val="00203EB2"/>
    <w:rsid w:val="002078C7"/>
    <w:rsid w:val="002142DB"/>
    <w:rsid w:val="00214EFD"/>
    <w:rsid w:val="0022055F"/>
    <w:rsid w:val="00221F97"/>
    <w:rsid w:val="002269F9"/>
    <w:rsid w:val="00230CDE"/>
    <w:rsid w:val="00232007"/>
    <w:rsid w:val="00232CF6"/>
    <w:rsid w:val="0023352B"/>
    <w:rsid w:val="00235FBD"/>
    <w:rsid w:val="0024053B"/>
    <w:rsid w:val="00244996"/>
    <w:rsid w:val="00246491"/>
    <w:rsid w:val="00251A5E"/>
    <w:rsid w:val="002528A3"/>
    <w:rsid w:val="00253CBB"/>
    <w:rsid w:val="00262A2E"/>
    <w:rsid w:val="002659E1"/>
    <w:rsid w:val="00265E53"/>
    <w:rsid w:val="002770A7"/>
    <w:rsid w:val="002773A8"/>
    <w:rsid w:val="00277A86"/>
    <w:rsid w:val="00277FA3"/>
    <w:rsid w:val="002821F4"/>
    <w:rsid w:val="00282C93"/>
    <w:rsid w:val="0028412E"/>
    <w:rsid w:val="0028447D"/>
    <w:rsid w:val="002856ED"/>
    <w:rsid w:val="00293BA0"/>
    <w:rsid w:val="002949AD"/>
    <w:rsid w:val="00294E81"/>
    <w:rsid w:val="002A6081"/>
    <w:rsid w:val="002B074E"/>
    <w:rsid w:val="002B4930"/>
    <w:rsid w:val="002B4CC0"/>
    <w:rsid w:val="002B6526"/>
    <w:rsid w:val="002C570A"/>
    <w:rsid w:val="002C5D43"/>
    <w:rsid w:val="002C5FDA"/>
    <w:rsid w:val="002C7D41"/>
    <w:rsid w:val="002C7EA7"/>
    <w:rsid w:val="002D1987"/>
    <w:rsid w:val="002D3FEA"/>
    <w:rsid w:val="002D49B8"/>
    <w:rsid w:val="002D56EE"/>
    <w:rsid w:val="002E13CA"/>
    <w:rsid w:val="002E24B9"/>
    <w:rsid w:val="002E7997"/>
    <w:rsid w:val="002F22F8"/>
    <w:rsid w:val="002F3EC1"/>
    <w:rsid w:val="002F4122"/>
    <w:rsid w:val="002F53AA"/>
    <w:rsid w:val="00301EFF"/>
    <w:rsid w:val="0030406B"/>
    <w:rsid w:val="00304723"/>
    <w:rsid w:val="00304FDF"/>
    <w:rsid w:val="0030569C"/>
    <w:rsid w:val="00306225"/>
    <w:rsid w:val="00306DB7"/>
    <w:rsid w:val="00310094"/>
    <w:rsid w:val="00311910"/>
    <w:rsid w:val="003128E4"/>
    <w:rsid w:val="00317C32"/>
    <w:rsid w:val="003222BC"/>
    <w:rsid w:val="00323BA2"/>
    <w:rsid w:val="0032557E"/>
    <w:rsid w:val="0032705C"/>
    <w:rsid w:val="00327A2F"/>
    <w:rsid w:val="003302A3"/>
    <w:rsid w:val="003312F1"/>
    <w:rsid w:val="00332D97"/>
    <w:rsid w:val="00337DE4"/>
    <w:rsid w:val="003427AD"/>
    <w:rsid w:val="00361424"/>
    <w:rsid w:val="00362360"/>
    <w:rsid w:val="00363F88"/>
    <w:rsid w:val="00367F46"/>
    <w:rsid w:val="00372014"/>
    <w:rsid w:val="003753D2"/>
    <w:rsid w:val="003806C8"/>
    <w:rsid w:val="00383368"/>
    <w:rsid w:val="003836A7"/>
    <w:rsid w:val="00384890"/>
    <w:rsid w:val="00387EFF"/>
    <w:rsid w:val="00387FCF"/>
    <w:rsid w:val="00390754"/>
    <w:rsid w:val="00390D55"/>
    <w:rsid w:val="00390F8D"/>
    <w:rsid w:val="00391191"/>
    <w:rsid w:val="003917C2"/>
    <w:rsid w:val="00392D2E"/>
    <w:rsid w:val="00393C31"/>
    <w:rsid w:val="00394571"/>
    <w:rsid w:val="00396246"/>
    <w:rsid w:val="0039636C"/>
    <w:rsid w:val="00397AED"/>
    <w:rsid w:val="003A11D1"/>
    <w:rsid w:val="003A6918"/>
    <w:rsid w:val="003B0BFD"/>
    <w:rsid w:val="003B1A90"/>
    <w:rsid w:val="003B1FBF"/>
    <w:rsid w:val="003C062D"/>
    <w:rsid w:val="003C58FB"/>
    <w:rsid w:val="003C6D3D"/>
    <w:rsid w:val="003D0291"/>
    <w:rsid w:val="003D1DAD"/>
    <w:rsid w:val="003D6146"/>
    <w:rsid w:val="003D7772"/>
    <w:rsid w:val="003E233B"/>
    <w:rsid w:val="003E35ED"/>
    <w:rsid w:val="003E4FFA"/>
    <w:rsid w:val="003E749D"/>
    <w:rsid w:val="003E778B"/>
    <w:rsid w:val="003E7989"/>
    <w:rsid w:val="003F0763"/>
    <w:rsid w:val="003F32C2"/>
    <w:rsid w:val="0040078F"/>
    <w:rsid w:val="00400FF5"/>
    <w:rsid w:val="00403056"/>
    <w:rsid w:val="00404372"/>
    <w:rsid w:val="00411668"/>
    <w:rsid w:val="0041775D"/>
    <w:rsid w:val="00423978"/>
    <w:rsid w:val="00425296"/>
    <w:rsid w:val="004340F7"/>
    <w:rsid w:val="00434352"/>
    <w:rsid w:val="004343F4"/>
    <w:rsid w:val="00442B1A"/>
    <w:rsid w:val="004430A3"/>
    <w:rsid w:val="0044564E"/>
    <w:rsid w:val="0044733B"/>
    <w:rsid w:val="004509AF"/>
    <w:rsid w:val="00450CB2"/>
    <w:rsid w:val="00451E23"/>
    <w:rsid w:val="00455179"/>
    <w:rsid w:val="00460DED"/>
    <w:rsid w:val="004632F3"/>
    <w:rsid w:val="004650D8"/>
    <w:rsid w:val="00465B8C"/>
    <w:rsid w:val="00467A4B"/>
    <w:rsid w:val="0047090B"/>
    <w:rsid w:val="004714B3"/>
    <w:rsid w:val="0047390A"/>
    <w:rsid w:val="004748B7"/>
    <w:rsid w:val="00476C67"/>
    <w:rsid w:val="00480CF8"/>
    <w:rsid w:val="00481B0B"/>
    <w:rsid w:val="00483BC1"/>
    <w:rsid w:val="00495F6A"/>
    <w:rsid w:val="004A268C"/>
    <w:rsid w:val="004A2C5F"/>
    <w:rsid w:val="004A7BB0"/>
    <w:rsid w:val="004B24F1"/>
    <w:rsid w:val="004B3801"/>
    <w:rsid w:val="004B3DB4"/>
    <w:rsid w:val="004B5A2A"/>
    <w:rsid w:val="004B63DA"/>
    <w:rsid w:val="004C04CF"/>
    <w:rsid w:val="004C1AE0"/>
    <w:rsid w:val="004C20FC"/>
    <w:rsid w:val="004C2A44"/>
    <w:rsid w:val="004C418D"/>
    <w:rsid w:val="004C4B08"/>
    <w:rsid w:val="004C504B"/>
    <w:rsid w:val="004C5C7D"/>
    <w:rsid w:val="004C6A8C"/>
    <w:rsid w:val="004C6CF6"/>
    <w:rsid w:val="004D2306"/>
    <w:rsid w:val="004D2D4E"/>
    <w:rsid w:val="004D3E6C"/>
    <w:rsid w:val="004D3E76"/>
    <w:rsid w:val="004D485E"/>
    <w:rsid w:val="004D55EC"/>
    <w:rsid w:val="004D5DCE"/>
    <w:rsid w:val="004E1CB4"/>
    <w:rsid w:val="004E2BD1"/>
    <w:rsid w:val="004E2FCB"/>
    <w:rsid w:val="004E3F7A"/>
    <w:rsid w:val="004E458D"/>
    <w:rsid w:val="004E4B3E"/>
    <w:rsid w:val="004E4EB9"/>
    <w:rsid w:val="004E58BD"/>
    <w:rsid w:val="004E6492"/>
    <w:rsid w:val="004E7488"/>
    <w:rsid w:val="004E7611"/>
    <w:rsid w:val="004E7B14"/>
    <w:rsid w:val="004E7C66"/>
    <w:rsid w:val="004E7E17"/>
    <w:rsid w:val="004F17EE"/>
    <w:rsid w:val="004F2CB4"/>
    <w:rsid w:val="004F4655"/>
    <w:rsid w:val="004F4F0D"/>
    <w:rsid w:val="004F6964"/>
    <w:rsid w:val="004F75AE"/>
    <w:rsid w:val="005017F1"/>
    <w:rsid w:val="005035D0"/>
    <w:rsid w:val="0050421D"/>
    <w:rsid w:val="00506173"/>
    <w:rsid w:val="005168D2"/>
    <w:rsid w:val="00523069"/>
    <w:rsid w:val="005258C4"/>
    <w:rsid w:val="0052598D"/>
    <w:rsid w:val="0052682F"/>
    <w:rsid w:val="00526DEB"/>
    <w:rsid w:val="005301B8"/>
    <w:rsid w:val="00535CA0"/>
    <w:rsid w:val="005364A0"/>
    <w:rsid w:val="00541019"/>
    <w:rsid w:val="005434A3"/>
    <w:rsid w:val="00543B8D"/>
    <w:rsid w:val="00543B98"/>
    <w:rsid w:val="00546F1D"/>
    <w:rsid w:val="0055070C"/>
    <w:rsid w:val="00553C4D"/>
    <w:rsid w:val="005548E7"/>
    <w:rsid w:val="00555A7E"/>
    <w:rsid w:val="00556A1F"/>
    <w:rsid w:val="00557F8F"/>
    <w:rsid w:val="00560B71"/>
    <w:rsid w:val="00561D70"/>
    <w:rsid w:val="00561F84"/>
    <w:rsid w:val="00562C8C"/>
    <w:rsid w:val="0056325C"/>
    <w:rsid w:val="00563295"/>
    <w:rsid w:val="00563A73"/>
    <w:rsid w:val="005679E9"/>
    <w:rsid w:val="00572076"/>
    <w:rsid w:val="00574065"/>
    <w:rsid w:val="00580808"/>
    <w:rsid w:val="00582E98"/>
    <w:rsid w:val="0058311A"/>
    <w:rsid w:val="005844E6"/>
    <w:rsid w:val="00585929"/>
    <w:rsid w:val="005870F8"/>
    <w:rsid w:val="00587314"/>
    <w:rsid w:val="00590F9B"/>
    <w:rsid w:val="0059142F"/>
    <w:rsid w:val="00593FB5"/>
    <w:rsid w:val="00595EE1"/>
    <w:rsid w:val="005A1294"/>
    <w:rsid w:val="005A22A9"/>
    <w:rsid w:val="005A47DD"/>
    <w:rsid w:val="005A58A5"/>
    <w:rsid w:val="005A7933"/>
    <w:rsid w:val="005B0535"/>
    <w:rsid w:val="005B1BB7"/>
    <w:rsid w:val="005B2208"/>
    <w:rsid w:val="005B3792"/>
    <w:rsid w:val="005B4640"/>
    <w:rsid w:val="005B47F0"/>
    <w:rsid w:val="005B7CDF"/>
    <w:rsid w:val="005C0A8F"/>
    <w:rsid w:val="005C21F2"/>
    <w:rsid w:val="005C26B2"/>
    <w:rsid w:val="005C354A"/>
    <w:rsid w:val="005C36AE"/>
    <w:rsid w:val="005C3C80"/>
    <w:rsid w:val="005C5133"/>
    <w:rsid w:val="005C5AB7"/>
    <w:rsid w:val="005D073C"/>
    <w:rsid w:val="005D0E11"/>
    <w:rsid w:val="005D1BE7"/>
    <w:rsid w:val="005D384C"/>
    <w:rsid w:val="005D6082"/>
    <w:rsid w:val="005D6A54"/>
    <w:rsid w:val="005E0B31"/>
    <w:rsid w:val="005E65B0"/>
    <w:rsid w:val="005E690F"/>
    <w:rsid w:val="005F02E4"/>
    <w:rsid w:val="005F3CFD"/>
    <w:rsid w:val="0060036D"/>
    <w:rsid w:val="00601BCF"/>
    <w:rsid w:val="0060253C"/>
    <w:rsid w:val="00610F00"/>
    <w:rsid w:val="00612362"/>
    <w:rsid w:val="006167D7"/>
    <w:rsid w:val="0061691A"/>
    <w:rsid w:val="006174EC"/>
    <w:rsid w:val="00620EF0"/>
    <w:rsid w:val="00626ABA"/>
    <w:rsid w:val="00630E95"/>
    <w:rsid w:val="00632DAB"/>
    <w:rsid w:val="00634282"/>
    <w:rsid w:val="006361E5"/>
    <w:rsid w:val="006363DD"/>
    <w:rsid w:val="006404B5"/>
    <w:rsid w:val="00643D0B"/>
    <w:rsid w:val="006454DF"/>
    <w:rsid w:val="00647249"/>
    <w:rsid w:val="006521A4"/>
    <w:rsid w:val="0065277A"/>
    <w:rsid w:val="00654083"/>
    <w:rsid w:val="00654CF7"/>
    <w:rsid w:val="00655A08"/>
    <w:rsid w:val="00657239"/>
    <w:rsid w:val="00657A0F"/>
    <w:rsid w:val="00657D62"/>
    <w:rsid w:val="00660D92"/>
    <w:rsid w:val="00662802"/>
    <w:rsid w:val="00663D2A"/>
    <w:rsid w:val="0067164A"/>
    <w:rsid w:val="00674C9E"/>
    <w:rsid w:val="006777BB"/>
    <w:rsid w:val="00680AE5"/>
    <w:rsid w:val="00681E94"/>
    <w:rsid w:val="00682909"/>
    <w:rsid w:val="00684FC9"/>
    <w:rsid w:val="00685099"/>
    <w:rsid w:val="006851AA"/>
    <w:rsid w:val="00690E6B"/>
    <w:rsid w:val="00691453"/>
    <w:rsid w:val="00691533"/>
    <w:rsid w:val="00693DFE"/>
    <w:rsid w:val="00693F92"/>
    <w:rsid w:val="00695A41"/>
    <w:rsid w:val="00697026"/>
    <w:rsid w:val="006A161F"/>
    <w:rsid w:val="006A3AB9"/>
    <w:rsid w:val="006B2CC4"/>
    <w:rsid w:val="006B3388"/>
    <w:rsid w:val="006B6115"/>
    <w:rsid w:val="006B639D"/>
    <w:rsid w:val="006C0290"/>
    <w:rsid w:val="006C24CF"/>
    <w:rsid w:val="006C2A28"/>
    <w:rsid w:val="006C3830"/>
    <w:rsid w:val="006C5E1C"/>
    <w:rsid w:val="006C6136"/>
    <w:rsid w:val="006C6F4F"/>
    <w:rsid w:val="006C72D9"/>
    <w:rsid w:val="006D44A0"/>
    <w:rsid w:val="006D5621"/>
    <w:rsid w:val="006D5F31"/>
    <w:rsid w:val="006E1771"/>
    <w:rsid w:val="006E322C"/>
    <w:rsid w:val="006E3F5C"/>
    <w:rsid w:val="006E5C81"/>
    <w:rsid w:val="006E6571"/>
    <w:rsid w:val="006F1B43"/>
    <w:rsid w:val="006F68E3"/>
    <w:rsid w:val="006F6F49"/>
    <w:rsid w:val="006F7B1B"/>
    <w:rsid w:val="00701277"/>
    <w:rsid w:val="00701E23"/>
    <w:rsid w:val="00706370"/>
    <w:rsid w:val="00707E82"/>
    <w:rsid w:val="00714E1F"/>
    <w:rsid w:val="00715DE8"/>
    <w:rsid w:val="007161D2"/>
    <w:rsid w:val="00721C8F"/>
    <w:rsid w:val="007303D1"/>
    <w:rsid w:val="007309F8"/>
    <w:rsid w:val="0073134B"/>
    <w:rsid w:val="00732611"/>
    <w:rsid w:val="007334B4"/>
    <w:rsid w:val="007349DD"/>
    <w:rsid w:val="00735740"/>
    <w:rsid w:val="00735E22"/>
    <w:rsid w:val="00736574"/>
    <w:rsid w:val="007372DF"/>
    <w:rsid w:val="0074131E"/>
    <w:rsid w:val="00742F2B"/>
    <w:rsid w:val="007464AB"/>
    <w:rsid w:val="007547EB"/>
    <w:rsid w:val="007579F1"/>
    <w:rsid w:val="00761215"/>
    <w:rsid w:val="007615F9"/>
    <w:rsid w:val="00761F2C"/>
    <w:rsid w:val="007731F4"/>
    <w:rsid w:val="00773EA2"/>
    <w:rsid w:val="00774484"/>
    <w:rsid w:val="00775AEF"/>
    <w:rsid w:val="007831D2"/>
    <w:rsid w:val="00784AA3"/>
    <w:rsid w:val="00787B4A"/>
    <w:rsid w:val="0079081C"/>
    <w:rsid w:val="00790FCF"/>
    <w:rsid w:val="0079125A"/>
    <w:rsid w:val="00791743"/>
    <w:rsid w:val="00797080"/>
    <w:rsid w:val="00797D50"/>
    <w:rsid w:val="007A13E2"/>
    <w:rsid w:val="007A1EE1"/>
    <w:rsid w:val="007B038E"/>
    <w:rsid w:val="007B26B3"/>
    <w:rsid w:val="007C0781"/>
    <w:rsid w:val="007C263E"/>
    <w:rsid w:val="007C2952"/>
    <w:rsid w:val="007C32D0"/>
    <w:rsid w:val="007C6047"/>
    <w:rsid w:val="007D0DA4"/>
    <w:rsid w:val="007D1B3A"/>
    <w:rsid w:val="007D1D2E"/>
    <w:rsid w:val="007D2C10"/>
    <w:rsid w:val="007D331C"/>
    <w:rsid w:val="007D63F6"/>
    <w:rsid w:val="007D7FC3"/>
    <w:rsid w:val="007E1029"/>
    <w:rsid w:val="007E5031"/>
    <w:rsid w:val="007E5AF9"/>
    <w:rsid w:val="007F06F6"/>
    <w:rsid w:val="007F07B6"/>
    <w:rsid w:val="007F1888"/>
    <w:rsid w:val="007F2331"/>
    <w:rsid w:val="007F3439"/>
    <w:rsid w:val="007F3714"/>
    <w:rsid w:val="007F389F"/>
    <w:rsid w:val="007F48F9"/>
    <w:rsid w:val="007F549D"/>
    <w:rsid w:val="007F5F05"/>
    <w:rsid w:val="008006F9"/>
    <w:rsid w:val="00804BA1"/>
    <w:rsid w:val="00804FD0"/>
    <w:rsid w:val="00805852"/>
    <w:rsid w:val="0080597B"/>
    <w:rsid w:val="00814394"/>
    <w:rsid w:val="00815584"/>
    <w:rsid w:val="0081770D"/>
    <w:rsid w:val="00822B12"/>
    <w:rsid w:val="008306C8"/>
    <w:rsid w:val="00844A80"/>
    <w:rsid w:val="00850544"/>
    <w:rsid w:val="0085308C"/>
    <w:rsid w:val="0085525D"/>
    <w:rsid w:val="0086181C"/>
    <w:rsid w:val="00863235"/>
    <w:rsid w:val="00863F1B"/>
    <w:rsid w:val="00867FE4"/>
    <w:rsid w:val="0087102F"/>
    <w:rsid w:val="00871D4D"/>
    <w:rsid w:val="00876766"/>
    <w:rsid w:val="00876FF9"/>
    <w:rsid w:val="00877581"/>
    <w:rsid w:val="00877F59"/>
    <w:rsid w:val="00883174"/>
    <w:rsid w:val="008846E2"/>
    <w:rsid w:val="00886B24"/>
    <w:rsid w:val="00887E94"/>
    <w:rsid w:val="00892443"/>
    <w:rsid w:val="00892660"/>
    <w:rsid w:val="008948C9"/>
    <w:rsid w:val="00894E7C"/>
    <w:rsid w:val="00896493"/>
    <w:rsid w:val="008A01CC"/>
    <w:rsid w:val="008A150A"/>
    <w:rsid w:val="008A26F9"/>
    <w:rsid w:val="008A3769"/>
    <w:rsid w:val="008A4D75"/>
    <w:rsid w:val="008A6D03"/>
    <w:rsid w:val="008A7191"/>
    <w:rsid w:val="008B04C5"/>
    <w:rsid w:val="008B2250"/>
    <w:rsid w:val="008B3DCA"/>
    <w:rsid w:val="008B4C11"/>
    <w:rsid w:val="008B5D51"/>
    <w:rsid w:val="008B6176"/>
    <w:rsid w:val="008B713F"/>
    <w:rsid w:val="008C0DA0"/>
    <w:rsid w:val="008C72F6"/>
    <w:rsid w:val="008D0B45"/>
    <w:rsid w:val="008D0FCB"/>
    <w:rsid w:val="008D3A62"/>
    <w:rsid w:val="008D55F6"/>
    <w:rsid w:val="008D75B6"/>
    <w:rsid w:val="008E09DE"/>
    <w:rsid w:val="008E1782"/>
    <w:rsid w:val="008E189C"/>
    <w:rsid w:val="008E452B"/>
    <w:rsid w:val="008F072D"/>
    <w:rsid w:val="008F08C0"/>
    <w:rsid w:val="008F092B"/>
    <w:rsid w:val="008F14DD"/>
    <w:rsid w:val="008F44F9"/>
    <w:rsid w:val="008F7547"/>
    <w:rsid w:val="009031BE"/>
    <w:rsid w:val="0090384C"/>
    <w:rsid w:val="00903BBB"/>
    <w:rsid w:val="00904A8D"/>
    <w:rsid w:val="00905138"/>
    <w:rsid w:val="0090532B"/>
    <w:rsid w:val="00911F79"/>
    <w:rsid w:val="009123D7"/>
    <w:rsid w:val="0091527E"/>
    <w:rsid w:val="0091540A"/>
    <w:rsid w:val="0092266A"/>
    <w:rsid w:val="00922727"/>
    <w:rsid w:val="00924843"/>
    <w:rsid w:val="00927434"/>
    <w:rsid w:val="0094164C"/>
    <w:rsid w:val="00941B53"/>
    <w:rsid w:val="00942D6E"/>
    <w:rsid w:val="009455C5"/>
    <w:rsid w:val="0094664A"/>
    <w:rsid w:val="009474C8"/>
    <w:rsid w:val="009516F3"/>
    <w:rsid w:val="009523B8"/>
    <w:rsid w:val="00952E1A"/>
    <w:rsid w:val="00953AE4"/>
    <w:rsid w:val="00954076"/>
    <w:rsid w:val="00954194"/>
    <w:rsid w:val="00954F2C"/>
    <w:rsid w:val="009569E5"/>
    <w:rsid w:val="00960AB8"/>
    <w:rsid w:val="00962552"/>
    <w:rsid w:val="009626DF"/>
    <w:rsid w:val="00963356"/>
    <w:rsid w:val="00965F02"/>
    <w:rsid w:val="00967F9D"/>
    <w:rsid w:val="00970EF0"/>
    <w:rsid w:val="0097359C"/>
    <w:rsid w:val="00977998"/>
    <w:rsid w:val="00983060"/>
    <w:rsid w:val="0098599E"/>
    <w:rsid w:val="00985ED3"/>
    <w:rsid w:val="00991847"/>
    <w:rsid w:val="0099415D"/>
    <w:rsid w:val="0099678A"/>
    <w:rsid w:val="0099723F"/>
    <w:rsid w:val="009A1732"/>
    <w:rsid w:val="009A1889"/>
    <w:rsid w:val="009A4DC3"/>
    <w:rsid w:val="009A4F78"/>
    <w:rsid w:val="009A7424"/>
    <w:rsid w:val="009B250A"/>
    <w:rsid w:val="009B61F2"/>
    <w:rsid w:val="009B7EE5"/>
    <w:rsid w:val="009C2701"/>
    <w:rsid w:val="009C4863"/>
    <w:rsid w:val="009C56CC"/>
    <w:rsid w:val="009D79AB"/>
    <w:rsid w:val="009E07FE"/>
    <w:rsid w:val="009E2374"/>
    <w:rsid w:val="009E4DCD"/>
    <w:rsid w:val="009E7555"/>
    <w:rsid w:val="009E7A9C"/>
    <w:rsid w:val="009E7CEF"/>
    <w:rsid w:val="009F1AF2"/>
    <w:rsid w:val="009F30AF"/>
    <w:rsid w:val="009F4069"/>
    <w:rsid w:val="009F543B"/>
    <w:rsid w:val="009F7A6C"/>
    <w:rsid w:val="00A0028A"/>
    <w:rsid w:val="00A0346B"/>
    <w:rsid w:val="00A03A81"/>
    <w:rsid w:val="00A05BFC"/>
    <w:rsid w:val="00A13713"/>
    <w:rsid w:val="00A20BB4"/>
    <w:rsid w:val="00A24480"/>
    <w:rsid w:val="00A254EA"/>
    <w:rsid w:val="00A3020B"/>
    <w:rsid w:val="00A309DF"/>
    <w:rsid w:val="00A3166D"/>
    <w:rsid w:val="00A3589E"/>
    <w:rsid w:val="00A35ABD"/>
    <w:rsid w:val="00A53253"/>
    <w:rsid w:val="00A56947"/>
    <w:rsid w:val="00A65D09"/>
    <w:rsid w:val="00A66F9D"/>
    <w:rsid w:val="00A722F0"/>
    <w:rsid w:val="00A74495"/>
    <w:rsid w:val="00A81991"/>
    <w:rsid w:val="00A824B9"/>
    <w:rsid w:val="00A83B39"/>
    <w:rsid w:val="00A87306"/>
    <w:rsid w:val="00A92B6B"/>
    <w:rsid w:val="00A966A0"/>
    <w:rsid w:val="00AA2552"/>
    <w:rsid w:val="00AA3B0F"/>
    <w:rsid w:val="00AB0B7C"/>
    <w:rsid w:val="00AB1723"/>
    <w:rsid w:val="00AB1B9F"/>
    <w:rsid w:val="00AB22CE"/>
    <w:rsid w:val="00AB26BA"/>
    <w:rsid w:val="00AB43E3"/>
    <w:rsid w:val="00AB67A3"/>
    <w:rsid w:val="00AB68BD"/>
    <w:rsid w:val="00AB6A34"/>
    <w:rsid w:val="00AB6E73"/>
    <w:rsid w:val="00AC08A5"/>
    <w:rsid w:val="00AC3D85"/>
    <w:rsid w:val="00AC7B56"/>
    <w:rsid w:val="00AD1C46"/>
    <w:rsid w:val="00AD3222"/>
    <w:rsid w:val="00AD51A8"/>
    <w:rsid w:val="00AD5A7D"/>
    <w:rsid w:val="00AD791A"/>
    <w:rsid w:val="00AE1D59"/>
    <w:rsid w:val="00AE2562"/>
    <w:rsid w:val="00AE3F4C"/>
    <w:rsid w:val="00AE5D2D"/>
    <w:rsid w:val="00AE60EA"/>
    <w:rsid w:val="00AE7D02"/>
    <w:rsid w:val="00AF0F1A"/>
    <w:rsid w:val="00AF1576"/>
    <w:rsid w:val="00AF437C"/>
    <w:rsid w:val="00AF54E1"/>
    <w:rsid w:val="00AF5783"/>
    <w:rsid w:val="00B0364F"/>
    <w:rsid w:val="00B04D4B"/>
    <w:rsid w:val="00B06CEC"/>
    <w:rsid w:val="00B10402"/>
    <w:rsid w:val="00B1179F"/>
    <w:rsid w:val="00B11E89"/>
    <w:rsid w:val="00B1514F"/>
    <w:rsid w:val="00B21335"/>
    <w:rsid w:val="00B24AF7"/>
    <w:rsid w:val="00B26762"/>
    <w:rsid w:val="00B30555"/>
    <w:rsid w:val="00B33D80"/>
    <w:rsid w:val="00B4084F"/>
    <w:rsid w:val="00B41763"/>
    <w:rsid w:val="00B41BCA"/>
    <w:rsid w:val="00B41E38"/>
    <w:rsid w:val="00B43B62"/>
    <w:rsid w:val="00B46F4D"/>
    <w:rsid w:val="00B501B4"/>
    <w:rsid w:val="00B51723"/>
    <w:rsid w:val="00B5328E"/>
    <w:rsid w:val="00B54EFF"/>
    <w:rsid w:val="00B55D70"/>
    <w:rsid w:val="00B6071D"/>
    <w:rsid w:val="00B60D50"/>
    <w:rsid w:val="00B6218A"/>
    <w:rsid w:val="00B71ECE"/>
    <w:rsid w:val="00B7396E"/>
    <w:rsid w:val="00B754CB"/>
    <w:rsid w:val="00B75614"/>
    <w:rsid w:val="00B776F8"/>
    <w:rsid w:val="00B85AFC"/>
    <w:rsid w:val="00B907DC"/>
    <w:rsid w:val="00B90DD1"/>
    <w:rsid w:val="00B9168E"/>
    <w:rsid w:val="00B91E6E"/>
    <w:rsid w:val="00B927C9"/>
    <w:rsid w:val="00B92A3A"/>
    <w:rsid w:val="00B930AC"/>
    <w:rsid w:val="00B96877"/>
    <w:rsid w:val="00B97DB9"/>
    <w:rsid w:val="00BA0516"/>
    <w:rsid w:val="00BA0D97"/>
    <w:rsid w:val="00BA6D5D"/>
    <w:rsid w:val="00BA7F29"/>
    <w:rsid w:val="00BB0F4D"/>
    <w:rsid w:val="00BB1354"/>
    <w:rsid w:val="00BB3E3E"/>
    <w:rsid w:val="00BC055F"/>
    <w:rsid w:val="00BC0DF7"/>
    <w:rsid w:val="00BC7624"/>
    <w:rsid w:val="00BD2182"/>
    <w:rsid w:val="00BD2301"/>
    <w:rsid w:val="00BD2365"/>
    <w:rsid w:val="00BD33B8"/>
    <w:rsid w:val="00BE5457"/>
    <w:rsid w:val="00BF1C8A"/>
    <w:rsid w:val="00BF35AC"/>
    <w:rsid w:val="00BF3650"/>
    <w:rsid w:val="00BF585A"/>
    <w:rsid w:val="00BF6119"/>
    <w:rsid w:val="00BF61E4"/>
    <w:rsid w:val="00BF6B77"/>
    <w:rsid w:val="00BF7DD4"/>
    <w:rsid w:val="00C00987"/>
    <w:rsid w:val="00C00A6B"/>
    <w:rsid w:val="00C042E6"/>
    <w:rsid w:val="00C05A0B"/>
    <w:rsid w:val="00C062A7"/>
    <w:rsid w:val="00C06A32"/>
    <w:rsid w:val="00C10F3E"/>
    <w:rsid w:val="00C10F7D"/>
    <w:rsid w:val="00C1242C"/>
    <w:rsid w:val="00C162F0"/>
    <w:rsid w:val="00C16A7C"/>
    <w:rsid w:val="00C20CB8"/>
    <w:rsid w:val="00C20FCF"/>
    <w:rsid w:val="00C21017"/>
    <w:rsid w:val="00C21B5C"/>
    <w:rsid w:val="00C24658"/>
    <w:rsid w:val="00C25021"/>
    <w:rsid w:val="00C25A44"/>
    <w:rsid w:val="00C32CEC"/>
    <w:rsid w:val="00C35693"/>
    <w:rsid w:val="00C40420"/>
    <w:rsid w:val="00C42B7C"/>
    <w:rsid w:val="00C43213"/>
    <w:rsid w:val="00C43D45"/>
    <w:rsid w:val="00C512F8"/>
    <w:rsid w:val="00C539B2"/>
    <w:rsid w:val="00C546DD"/>
    <w:rsid w:val="00C548EA"/>
    <w:rsid w:val="00C564D6"/>
    <w:rsid w:val="00C56D60"/>
    <w:rsid w:val="00C57606"/>
    <w:rsid w:val="00C6016A"/>
    <w:rsid w:val="00C60502"/>
    <w:rsid w:val="00C625B9"/>
    <w:rsid w:val="00C62757"/>
    <w:rsid w:val="00C62801"/>
    <w:rsid w:val="00C644EF"/>
    <w:rsid w:val="00C6536C"/>
    <w:rsid w:val="00C6640D"/>
    <w:rsid w:val="00C66E3C"/>
    <w:rsid w:val="00C72558"/>
    <w:rsid w:val="00C7270E"/>
    <w:rsid w:val="00C746D4"/>
    <w:rsid w:val="00C770ED"/>
    <w:rsid w:val="00C77206"/>
    <w:rsid w:val="00C7769C"/>
    <w:rsid w:val="00C77E1F"/>
    <w:rsid w:val="00C8178A"/>
    <w:rsid w:val="00C817F2"/>
    <w:rsid w:val="00C825D3"/>
    <w:rsid w:val="00C94747"/>
    <w:rsid w:val="00C97DF0"/>
    <w:rsid w:val="00CA1BB6"/>
    <w:rsid w:val="00CA2383"/>
    <w:rsid w:val="00CA6902"/>
    <w:rsid w:val="00CA74D8"/>
    <w:rsid w:val="00CA7907"/>
    <w:rsid w:val="00CA7E28"/>
    <w:rsid w:val="00CB257D"/>
    <w:rsid w:val="00CB37AC"/>
    <w:rsid w:val="00CB57E8"/>
    <w:rsid w:val="00CB680F"/>
    <w:rsid w:val="00CB7C34"/>
    <w:rsid w:val="00CC04F0"/>
    <w:rsid w:val="00CC4B96"/>
    <w:rsid w:val="00CC4DB1"/>
    <w:rsid w:val="00CC5FA9"/>
    <w:rsid w:val="00CC7133"/>
    <w:rsid w:val="00CD0BA7"/>
    <w:rsid w:val="00CD6827"/>
    <w:rsid w:val="00CD774B"/>
    <w:rsid w:val="00CE0073"/>
    <w:rsid w:val="00CE0DE4"/>
    <w:rsid w:val="00CE1AD6"/>
    <w:rsid w:val="00CE4488"/>
    <w:rsid w:val="00CE5C88"/>
    <w:rsid w:val="00CE66E3"/>
    <w:rsid w:val="00CF20ED"/>
    <w:rsid w:val="00CF65C9"/>
    <w:rsid w:val="00D02194"/>
    <w:rsid w:val="00D04FD9"/>
    <w:rsid w:val="00D16FC9"/>
    <w:rsid w:val="00D23268"/>
    <w:rsid w:val="00D23C09"/>
    <w:rsid w:val="00D249D1"/>
    <w:rsid w:val="00D262B7"/>
    <w:rsid w:val="00D2758D"/>
    <w:rsid w:val="00D27E61"/>
    <w:rsid w:val="00D31AFD"/>
    <w:rsid w:val="00D31D92"/>
    <w:rsid w:val="00D33899"/>
    <w:rsid w:val="00D3466E"/>
    <w:rsid w:val="00D3571F"/>
    <w:rsid w:val="00D40177"/>
    <w:rsid w:val="00D44363"/>
    <w:rsid w:val="00D445B3"/>
    <w:rsid w:val="00D47EC5"/>
    <w:rsid w:val="00D47FDE"/>
    <w:rsid w:val="00D51C04"/>
    <w:rsid w:val="00D53E74"/>
    <w:rsid w:val="00D56B9C"/>
    <w:rsid w:val="00D61603"/>
    <w:rsid w:val="00D648D1"/>
    <w:rsid w:val="00D65CC2"/>
    <w:rsid w:val="00D70220"/>
    <w:rsid w:val="00D70C5E"/>
    <w:rsid w:val="00D71666"/>
    <w:rsid w:val="00D71A00"/>
    <w:rsid w:val="00D74EE3"/>
    <w:rsid w:val="00D772EF"/>
    <w:rsid w:val="00D81228"/>
    <w:rsid w:val="00D83741"/>
    <w:rsid w:val="00D85447"/>
    <w:rsid w:val="00D86492"/>
    <w:rsid w:val="00D87A1F"/>
    <w:rsid w:val="00D9016F"/>
    <w:rsid w:val="00D91778"/>
    <w:rsid w:val="00D91931"/>
    <w:rsid w:val="00D92E1C"/>
    <w:rsid w:val="00D948CC"/>
    <w:rsid w:val="00DA020D"/>
    <w:rsid w:val="00DA4116"/>
    <w:rsid w:val="00DA4B4F"/>
    <w:rsid w:val="00DA5765"/>
    <w:rsid w:val="00DA5BCD"/>
    <w:rsid w:val="00DA630E"/>
    <w:rsid w:val="00DB1055"/>
    <w:rsid w:val="00DB29F2"/>
    <w:rsid w:val="00DB3BA6"/>
    <w:rsid w:val="00DB5E11"/>
    <w:rsid w:val="00DC130F"/>
    <w:rsid w:val="00DC2121"/>
    <w:rsid w:val="00DC367C"/>
    <w:rsid w:val="00DD1822"/>
    <w:rsid w:val="00DD29F9"/>
    <w:rsid w:val="00DD72D3"/>
    <w:rsid w:val="00DE18CB"/>
    <w:rsid w:val="00DE464D"/>
    <w:rsid w:val="00DE5BD7"/>
    <w:rsid w:val="00DE667A"/>
    <w:rsid w:val="00DF0CA0"/>
    <w:rsid w:val="00DF3CF1"/>
    <w:rsid w:val="00DF4472"/>
    <w:rsid w:val="00DF4BFA"/>
    <w:rsid w:val="00E04787"/>
    <w:rsid w:val="00E04806"/>
    <w:rsid w:val="00E07171"/>
    <w:rsid w:val="00E07459"/>
    <w:rsid w:val="00E15866"/>
    <w:rsid w:val="00E16FB6"/>
    <w:rsid w:val="00E178BF"/>
    <w:rsid w:val="00E20928"/>
    <w:rsid w:val="00E22172"/>
    <w:rsid w:val="00E238EC"/>
    <w:rsid w:val="00E248D4"/>
    <w:rsid w:val="00E2728C"/>
    <w:rsid w:val="00E275D6"/>
    <w:rsid w:val="00E30099"/>
    <w:rsid w:val="00E34571"/>
    <w:rsid w:val="00E37E01"/>
    <w:rsid w:val="00E4293A"/>
    <w:rsid w:val="00E429F5"/>
    <w:rsid w:val="00E42AD8"/>
    <w:rsid w:val="00E4575C"/>
    <w:rsid w:val="00E45EA3"/>
    <w:rsid w:val="00E45F85"/>
    <w:rsid w:val="00E50ED4"/>
    <w:rsid w:val="00E5140A"/>
    <w:rsid w:val="00E520BF"/>
    <w:rsid w:val="00E52EEB"/>
    <w:rsid w:val="00E5770A"/>
    <w:rsid w:val="00E621D9"/>
    <w:rsid w:val="00E66D46"/>
    <w:rsid w:val="00E66E06"/>
    <w:rsid w:val="00E67E2A"/>
    <w:rsid w:val="00E73553"/>
    <w:rsid w:val="00E73690"/>
    <w:rsid w:val="00E73767"/>
    <w:rsid w:val="00E766D9"/>
    <w:rsid w:val="00E83417"/>
    <w:rsid w:val="00E84A80"/>
    <w:rsid w:val="00E84B6F"/>
    <w:rsid w:val="00E84EA3"/>
    <w:rsid w:val="00E86274"/>
    <w:rsid w:val="00E87C8F"/>
    <w:rsid w:val="00E90E0A"/>
    <w:rsid w:val="00E96710"/>
    <w:rsid w:val="00EA1E0F"/>
    <w:rsid w:val="00EA2707"/>
    <w:rsid w:val="00EA29CB"/>
    <w:rsid w:val="00EA79AF"/>
    <w:rsid w:val="00EB0A30"/>
    <w:rsid w:val="00EB0B99"/>
    <w:rsid w:val="00EB1398"/>
    <w:rsid w:val="00EB20B6"/>
    <w:rsid w:val="00EB21D8"/>
    <w:rsid w:val="00EB3315"/>
    <w:rsid w:val="00EC18B5"/>
    <w:rsid w:val="00EC25D0"/>
    <w:rsid w:val="00EC2FE4"/>
    <w:rsid w:val="00EC59D7"/>
    <w:rsid w:val="00ED3B81"/>
    <w:rsid w:val="00ED48C8"/>
    <w:rsid w:val="00EE2A94"/>
    <w:rsid w:val="00EE2B04"/>
    <w:rsid w:val="00EE44FE"/>
    <w:rsid w:val="00EE65DD"/>
    <w:rsid w:val="00EE69A6"/>
    <w:rsid w:val="00EF0B07"/>
    <w:rsid w:val="00F002A2"/>
    <w:rsid w:val="00F0244E"/>
    <w:rsid w:val="00F02E27"/>
    <w:rsid w:val="00F10B0E"/>
    <w:rsid w:val="00F11797"/>
    <w:rsid w:val="00F11863"/>
    <w:rsid w:val="00F122DE"/>
    <w:rsid w:val="00F13AE6"/>
    <w:rsid w:val="00F157C2"/>
    <w:rsid w:val="00F170BC"/>
    <w:rsid w:val="00F20084"/>
    <w:rsid w:val="00F20E49"/>
    <w:rsid w:val="00F2126B"/>
    <w:rsid w:val="00F231A5"/>
    <w:rsid w:val="00F3490D"/>
    <w:rsid w:val="00F47ED9"/>
    <w:rsid w:val="00F47FE6"/>
    <w:rsid w:val="00F51D2C"/>
    <w:rsid w:val="00F523EC"/>
    <w:rsid w:val="00F53852"/>
    <w:rsid w:val="00F54959"/>
    <w:rsid w:val="00F5684C"/>
    <w:rsid w:val="00F57EB0"/>
    <w:rsid w:val="00F67241"/>
    <w:rsid w:val="00F67F75"/>
    <w:rsid w:val="00F71513"/>
    <w:rsid w:val="00F741D1"/>
    <w:rsid w:val="00F74816"/>
    <w:rsid w:val="00F772D5"/>
    <w:rsid w:val="00F7759C"/>
    <w:rsid w:val="00F80A23"/>
    <w:rsid w:val="00F833C8"/>
    <w:rsid w:val="00F84AD9"/>
    <w:rsid w:val="00F85C95"/>
    <w:rsid w:val="00F86474"/>
    <w:rsid w:val="00F868B6"/>
    <w:rsid w:val="00F8766F"/>
    <w:rsid w:val="00F91005"/>
    <w:rsid w:val="00F9243B"/>
    <w:rsid w:val="00F935A6"/>
    <w:rsid w:val="00F94466"/>
    <w:rsid w:val="00F9463C"/>
    <w:rsid w:val="00F95156"/>
    <w:rsid w:val="00FA3BD1"/>
    <w:rsid w:val="00FA4919"/>
    <w:rsid w:val="00FA7345"/>
    <w:rsid w:val="00FB23E5"/>
    <w:rsid w:val="00FB4476"/>
    <w:rsid w:val="00FB4696"/>
    <w:rsid w:val="00FC6DAE"/>
    <w:rsid w:val="00FC7724"/>
    <w:rsid w:val="00FD4C6E"/>
    <w:rsid w:val="00FD6056"/>
    <w:rsid w:val="00FD606B"/>
    <w:rsid w:val="00FD6E88"/>
    <w:rsid w:val="00FE64F1"/>
    <w:rsid w:val="00FE6794"/>
    <w:rsid w:val="00FF525F"/>
    <w:rsid w:val="00FF7B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83696"/>
  <w15:docId w15:val="{FB79D0F2-C286-4FD2-A44C-6BAA9F1EA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A5BD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0606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E545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4A3"/>
    <w:pPr>
      <w:ind w:left="720"/>
      <w:contextualSpacing/>
    </w:pPr>
  </w:style>
  <w:style w:type="character" w:customStyle="1" w:styleId="Heading1Char">
    <w:name w:val="Heading 1 Char"/>
    <w:basedOn w:val="DefaultParagraphFont"/>
    <w:link w:val="Heading1"/>
    <w:uiPriority w:val="9"/>
    <w:rsid w:val="000A5BDC"/>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555A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5A7E"/>
  </w:style>
  <w:style w:type="paragraph" w:styleId="Footer">
    <w:name w:val="footer"/>
    <w:basedOn w:val="Normal"/>
    <w:link w:val="FooterChar"/>
    <w:uiPriority w:val="99"/>
    <w:unhideWhenUsed/>
    <w:rsid w:val="00555A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5A7E"/>
  </w:style>
  <w:style w:type="character" w:customStyle="1" w:styleId="Heading2Char">
    <w:name w:val="Heading 2 Char"/>
    <w:basedOn w:val="DefaultParagraphFont"/>
    <w:link w:val="Heading2"/>
    <w:uiPriority w:val="9"/>
    <w:rsid w:val="00106069"/>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332D97"/>
    <w:pPr>
      <w:outlineLvl w:val="9"/>
    </w:pPr>
  </w:style>
  <w:style w:type="paragraph" w:styleId="TOC1">
    <w:name w:val="toc 1"/>
    <w:basedOn w:val="Normal"/>
    <w:next w:val="Normal"/>
    <w:autoRedefine/>
    <w:uiPriority w:val="39"/>
    <w:unhideWhenUsed/>
    <w:rsid w:val="00332D97"/>
    <w:pPr>
      <w:spacing w:after="100"/>
    </w:pPr>
  </w:style>
  <w:style w:type="paragraph" w:styleId="TOC2">
    <w:name w:val="toc 2"/>
    <w:basedOn w:val="Normal"/>
    <w:next w:val="Normal"/>
    <w:autoRedefine/>
    <w:uiPriority w:val="39"/>
    <w:unhideWhenUsed/>
    <w:rsid w:val="00332D97"/>
    <w:pPr>
      <w:spacing w:after="100"/>
      <w:ind w:left="220"/>
    </w:pPr>
  </w:style>
  <w:style w:type="character" w:styleId="Hyperlink">
    <w:name w:val="Hyperlink"/>
    <w:basedOn w:val="DefaultParagraphFont"/>
    <w:uiPriority w:val="99"/>
    <w:unhideWhenUsed/>
    <w:rsid w:val="00332D97"/>
    <w:rPr>
      <w:color w:val="0563C1" w:themeColor="hyperlink"/>
      <w:u w:val="single"/>
    </w:rPr>
  </w:style>
  <w:style w:type="character" w:customStyle="1" w:styleId="Heading3Char">
    <w:name w:val="Heading 3 Char"/>
    <w:basedOn w:val="DefaultParagraphFont"/>
    <w:link w:val="Heading3"/>
    <w:uiPriority w:val="9"/>
    <w:rsid w:val="00BE5457"/>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C825D3"/>
    <w:pPr>
      <w:spacing w:after="100"/>
      <w:ind w:left="440"/>
    </w:pPr>
  </w:style>
  <w:style w:type="paragraph" w:styleId="FootnoteText">
    <w:name w:val="footnote text"/>
    <w:basedOn w:val="Normal"/>
    <w:link w:val="FootnoteTextChar"/>
    <w:uiPriority w:val="99"/>
    <w:semiHidden/>
    <w:unhideWhenUsed/>
    <w:rsid w:val="00D919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1931"/>
    <w:rPr>
      <w:sz w:val="20"/>
      <w:szCs w:val="20"/>
    </w:rPr>
  </w:style>
  <w:style w:type="character" w:styleId="FootnoteReference">
    <w:name w:val="footnote reference"/>
    <w:basedOn w:val="DefaultParagraphFont"/>
    <w:uiPriority w:val="99"/>
    <w:semiHidden/>
    <w:unhideWhenUsed/>
    <w:rsid w:val="00D91931"/>
    <w:rPr>
      <w:vertAlign w:val="superscript"/>
    </w:rPr>
  </w:style>
  <w:style w:type="paragraph" w:styleId="BalloonText">
    <w:name w:val="Balloon Text"/>
    <w:basedOn w:val="Normal"/>
    <w:link w:val="BalloonTextChar"/>
    <w:uiPriority w:val="99"/>
    <w:semiHidden/>
    <w:unhideWhenUsed/>
    <w:rsid w:val="00AB67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7A3"/>
    <w:rPr>
      <w:rFonts w:ascii="Segoe UI" w:hAnsi="Segoe UI" w:cs="Segoe UI"/>
      <w:sz w:val="18"/>
      <w:szCs w:val="18"/>
    </w:rPr>
  </w:style>
  <w:style w:type="character" w:styleId="CommentReference">
    <w:name w:val="annotation reference"/>
    <w:basedOn w:val="DefaultParagraphFont"/>
    <w:uiPriority w:val="99"/>
    <w:semiHidden/>
    <w:unhideWhenUsed/>
    <w:rsid w:val="00CC04F0"/>
    <w:rPr>
      <w:sz w:val="16"/>
      <w:szCs w:val="16"/>
    </w:rPr>
  </w:style>
  <w:style w:type="paragraph" w:styleId="CommentText">
    <w:name w:val="annotation text"/>
    <w:basedOn w:val="Normal"/>
    <w:link w:val="CommentTextChar"/>
    <w:uiPriority w:val="99"/>
    <w:semiHidden/>
    <w:unhideWhenUsed/>
    <w:rsid w:val="00CC04F0"/>
    <w:pPr>
      <w:spacing w:line="240" w:lineRule="auto"/>
    </w:pPr>
    <w:rPr>
      <w:sz w:val="20"/>
      <w:szCs w:val="20"/>
    </w:rPr>
  </w:style>
  <w:style w:type="character" w:customStyle="1" w:styleId="CommentTextChar">
    <w:name w:val="Comment Text Char"/>
    <w:basedOn w:val="DefaultParagraphFont"/>
    <w:link w:val="CommentText"/>
    <w:uiPriority w:val="99"/>
    <w:semiHidden/>
    <w:rsid w:val="00CC04F0"/>
    <w:rPr>
      <w:sz w:val="20"/>
      <w:szCs w:val="20"/>
    </w:rPr>
  </w:style>
  <w:style w:type="paragraph" w:styleId="CommentSubject">
    <w:name w:val="annotation subject"/>
    <w:basedOn w:val="CommentText"/>
    <w:next w:val="CommentText"/>
    <w:link w:val="CommentSubjectChar"/>
    <w:uiPriority w:val="99"/>
    <w:semiHidden/>
    <w:unhideWhenUsed/>
    <w:rsid w:val="00CC04F0"/>
    <w:rPr>
      <w:b/>
      <w:bCs/>
    </w:rPr>
  </w:style>
  <w:style w:type="character" w:customStyle="1" w:styleId="CommentSubjectChar">
    <w:name w:val="Comment Subject Char"/>
    <w:basedOn w:val="CommentTextChar"/>
    <w:link w:val="CommentSubject"/>
    <w:uiPriority w:val="99"/>
    <w:semiHidden/>
    <w:rsid w:val="00CC04F0"/>
    <w:rPr>
      <w:b/>
      <w:bCs/>
      <w:sz w:val="20"/>
      <w:szCs w:val="20"/>
    </w:rPr>
  </w:style>
  <w:style w:type="character" w:styleId="FollowedHyperlink">
    <w:name w:val="FollowedHyperlink"/>
    <w:basedOn w:val="DefaultParagraphFont"/>
    <w:uiPriority w:val="99"/>
    <w:semiHidden/>
    <w:unhideWhenUsed/>
    <w:rsid w:val="00D648D1"/>
    <w:rPr>
      <w:color w:val="954F72" w:themeColor="followedHyperlink"/>
      <w:u w:val="single"/>
    </w:rPr>
  </w:style>
  <w:style w:type="table" w:styleId="TableGrid">
    <w:name w:val="Table Grid"/>
    <w:basedOn w:val="TableNormal"/>
    <w:uiPriority w:val="39"/>
    <w:rsid w:val="00D71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6402580">
      <w:bodyDiv w:val="1"/>
      <w:marLeft w:val="0"/>
      <w:marRight w:val="0"/>
      <w:marTop w:val="0"/>
      <w:marBottom w:val="0"/>
      <w:divBdr>
        <w:top w:val="none" w:sz="0" w:space="0" w:color="auto"/>
        <w:left w:val="none" w:sz="0" w:space="0" w:color="auto"/>
        <w:bottom w:val="none" w:sz="0" w:space="0" w:color="auto"/>
        <w:right w:val="none" w:sz="0" w:space="0" w:color="auto"/>
      </w:divBdr>
    </w:div>
    <w:div w:id="1249535835">
      <w:bodyDiv w:val="1"/>
      <w:marLeft w:val="0"/>
      <w:marRight w:val="0"/>
      <w:marTop w:val="0"/>
      <w:marBottom w:val="0"/>
      <w:divBdr>
        <w:top w:val="none" w:sz="0" w:space="0" w:color="auto"/>
        <w:left w:val="none" w:sz="0" w:space="0" w:color="auto"/>
        <w:bottom w:val="none" w:sz="0" w:space="0" w:color="auto"/>
        <w:right w:val="none" w:sz="0" w:space="0" w:color="auto"/>
      </w:divBdr>
    </w:div>
    <w:div w:id="1465393983">
      <w:bodyDiv w:val="1"/>
      <w:marLeft w:val="0"/>
      <w:marRight w:val="0"/>
      <w:marTop w:val="0"/>
      <w:marBottom w:val="0"/>
      <w:divBdr>
        <w:top w:val="none" w:sz="0" w:space="0" w:color="auto"/>
        <w:left w:val="none" w:sz="0" w:space="0" w:color="auto"/>
        <w:bottom w:val="none" w:sz="0" w:space="0" w:color="auto"/>
        <w:right w:val="none" w:sz="0" w:space="0" w:color="auto"/>
      </w:divBdr>
    </w:div>
    <w:div w:id="1486509070">
      <w:bodyDiv w:val="1"/>
      <w:marLeft w:val="0"/>
      <w:marRight w:val="0"/>
      <w:marTop w:val="0"/>
      <w:marBottom w:val="0"/>
      <w:divBdr>
        <w:top w:val="none" w:sz="0" w:space="0" w:color="auto"/>
        <w:left w:val="none" w:sz="0" w:space="0" w:color="auto"/>
        <w:bottom w:val="none" w:sz="0" w:space="0" w:color="auto"/>
        <w:right w:val="none" w:sz="0" w:space="0" w:color="auto"/>
      </w:divBdr>
    </w:div>
    <w:div w:id="2070959634">
      <w:bodyDiv w:val="1"/>
      <w:marLeft w:val="0"/>
      <w:marRight w:val="0"/>
      <w:marTop w:val="0"/>
      <w:marBottom w:val="0"/>
      <w:divBdr>
        <w:top w:val="none" w:sz="0" w:space="0" w:color="auto"/>
        <w:left w:val="none" w:sz="0" w:space="0" w:color="auto"/>
        <w:bottom w:val="none" w:sz="0" w:space="0" w:color="auto"/>
        <w:right w:val="none" w:sz="0" w:space="0" w:color="auto"/>
      </w:divBdr>
      <w:divsChild>
        <w:div w:id="4551950">
          <w:marLeft w:val="1426"/>
          <w:marRight w:val="0"/>
          <w:marTop w:val="96"/>
          <w:marBottom w:val="0"/>
          <w:divBdr>
            <w:top w:val="none" w:sz="0" w:space="0" w:color="auto"/>
            <w:left w:val="none" w:sz="0" w:space="0" w:color="auto"/>
            <w:bottom w:val="none" w:sz="0" w:space="0" w:color="auto"/>
            <w:right w:val="none" w:sz="0" w:space="0" w:color="auto"/>
          </w:divBdr>
        </w:div>
        <w:div w:id="7752433">
          <w:marLeft w:val="1426"/>
          <w:marRight w:val="0"/>
          <w:marTop w:val="96"/>
          <w:marBottom w:val="0"/>
          <w:divBdr>
            <w:top w:val="none" w:sz="0" w:space="0" w:color="auto"/>
            <w:left w:val="none" w:sz="0" w:space="0" w:color="auto"/>
            <w:bottom w:val="none" w:sz="0" w:space="0" w:color="auto"/>
            <w:right w:val="none" w:sz="0" w:space="0" w:color="auto"/>
          </w:divBdr>
        </w:div>
        <w:div w:id="19164641">
          <w:marLeft w:val="1426"/>
          <w:marRight w:val="0"/>
          <w:marTop w:val="96"/>
          <w:marBottom w:val="0"/>
          <w:divBdr>
            <w:top w:val="none" w:sz="0" w:space="0" w:color="auto"/>
            <w:left w:val="none" w:sz="0" w:space="0" w:color="auto"/>
            <w:bottom w:val="none" w:sz="0" w:space="0" w:color="auto"/>
            <w:right w:val="none" w:sz="0" w:space="0" w:color="auto"/>
          </w:divBdr>
        </w:div>
        <w:div w:id="19671463">
          <w:marLeft w:val="734"/>
          <w:marRight w:val="0"/>
          <w:marTop w:val="115"/>
          <w:marBottom w:val="0"/>
          <w:divBdr>
            <w:top w:val="none" w:sz="0" w:space="0" w:color="auto"/>
            <w:left w:val="none" w:sz="0" w:space="0" w:color="auto"/>
            <w:bottom w:val="none" w:sz="0" w:space="0" w:color="auto"/>
            <w:right w:val="none" w:sz="0" w:space="0" w:color="auto"/>
          </w:divBdr>
        </w:div>
        <w:div w:id="29571656">
          <w:marLeft w:val="734"/>
          <w:marRight w:val="0"/>
          <w:marTop w:val="115"/>
          <w:marBottom w:val="0"/>
          <w:divBdr>
            <w:top w:val="none" w:sz="0" w:space="0" w:color="auto"/>
            <w:left w:val="none" w:sz="0" w:space="0" w:color="auto"/>
            <w:bottom w:val="none" w:sz="0" w:space="0" w:color="auto"/>
            <w:right w:val="none" w:sz="0" w:space="0" w:color="auto"/>
          </w:divBdr>
        </w:div>
        <w:div w:id="32584016">
          <w:marLeft w:val="734"/>
          <w:marRight w:val="0"/>
          <w:marTop w:val="115"/>
          <w:marBottom w:val="0"/>
          <w:divBdr>
            <w:top w:val="none" w:sz="0" w:space="0" w:color="auto"/>
            <w:left w:val="none" w:sz="0" w:space="0" w:color="auto"/>
            <w:bottom w:val="none" w:sz="0" w:space="0" w:color="auto"/>
            <w:right w:val="none" w:sz="0" w:space="0" w:color="auto"/>
          </w:divBdr>
        </w:div>
        <w:div w:id="50079458">
          <w:marLeft w:val="734"/>
          <w:marRight w:val="0"/>
          <w:marTop w:val="115"/>
          <w:marBottom w:val="0"/>
          <w:divBdr>
            <w:top w:val="none" w:sz="0" w:space="0" w:color="auto"/>
            <w:left w:val="none" w:sz="0" w:space="0" w:color="auto"/>
            <w:bottom w:val="none" w:sz="0" w:space="0" w:color="auto"/>
            <w:right w:val="none" w:sz="0" w:space="0" w:color="auto"/>
          </w:divBdr>
        </w:div>
        <w:div w:id="56321882">
          <w:marLeft w:val="1426"/>
          <w:marRight w:val="0"/>
          <w:marTop w:val="96"/>
          <w:marBottom w:val="0"/>
          <w:divBdr>
            <w:top w:val="none" w:sz="0" w:space="0" w:color="auto"/>
            <w:left w:val="none" w:sz="0" w:space="0" w:color="auto"/>
            <w:bottom w:val="none" w:sz="0" w:space="0" w:color="auto"/>
            <w:right w:val="none" w:sz="0" w:space="0" w:color="auto"/>
          </w:divBdr>
        </w:div>
        <w:div w:id="58872152">
          <w:marLeft w:val="1426"/>
          <w:marRight w:val="0"/>
          <w:marTop w:val="96"/>
          <w:marBottom w:val="0"/>
          <w:divBdr>
            <w:top w:val="none" w:sz="0" w:space="0" w:color="auto"/>
            <w:left w:val="none" w:sz="0" w:space="0" w:color="auto"/>
            <w:bottom w:val="none" w:sz="0" w:space="0" w:color="auto"/>
            <w:right w:val="none" w:sz="0" w:space="0" w:color="auto"/>
          </w:divBdr>
        </w:div>
        <w:div w:id="71317267">
          <w:marLeft w:val="1426"/>
          <w:marRight w:val="0"/>
          <w:marTop w:val="96"/>
          <w:marBottom w:val="0"/>
          <w:divBdr>
            <w:top w:val="none" w:sz="0" w:space="0" w:color="auto"/>
            <w:left w:val="none" w:sz="0" w:space="0" w:color="auto"/>
            <w:bottom w:val="none" w:sz="0" w:space="0" w:color="auto"/>
            <w:right w:val="none" w:sz="0" w:space="0" w:color="auto"/>
          </w:divBdr>
        </w:div>
        <w:div w:id="83303423">
          <w:marLeft w:val="734"/>
          <w:marRight w:val="0"/>
          <w:marTop w:val="86"/>
          <w:marBottom w:val="0"/>
          <w:divBdr>
            <w:top w:val="none" w:sz="0" w:space="0" w:color="auto"/>
            <w:left w:val="none" w:sz="0" w:space="0" w:color="auto"/>
            <w:bottom w:val="none" w:sz="0" w:space="0" w:color="auto"/>
            <w:right w:val="none" w:sz="0" w:space="0" w:color="auto"/>
          </w:divBdr>
        </w:div>
        <w:div w:id="87310716">
          <w:marLeft w:val="734"/>
          <w:marRight w:val="0"/>
          <w:marTop w:val="154"/>
          <w:marBottom w:val="0"/>
          <w:divBdr>
            <w:top w:val="none" w:sz="0" w:space="0" w:color="auto"/>
            <w:left w:val="none" w:sz="0" w:space="0" w:color="auto"/>
            <w:bottom w:val="none" w:sz="0" w:space="0" w:color="auto"/>
            <w:right w:val="none" w:sz="0" w:space="0" w:color="auto"/>
          </w:divBdr>
        </w:div>
        <w:div w:id="87779983">
          <w:marLeft w:val="734"/>
          <w:marRight w:val="0"/>
          <w:marTop w:val="115"/>
          <w:marBottom w:val="0"/>
          <w:divBdr>
            <w:top w:val="none" w:sz="0" w:space="0" w:color="auto"/>
            <w:left w:val="none" w:sz="0" w:space="0" w:color="auto"/>
            <w:bottom w:val="none" w:sz="0" w:space="0" w:color="auto"/>
            <w:right w:val="none" w:sz="0" w:space="0" w:color="auto"/>
          </w:divBdr>
        </w:div>
        <w:div w:id="89013816">
          <w:marLeft w:val="734"/>
          <w:marRight w:val="0"/>
          <w:marTop w:val="115"/>
          <w:marBottom w:val="0"/>
          <w:divBdr>
            <w:top w:val="none" w:sz="0" w:space="0" w:color="auto"/>
            <w:left w:val="none" w:sz="0" w:space="0" w:color="auto"/>
            <w:bottom w:val="none" w:sz="0" w:space="0" w:color="auto"/>
            <w:right w:val="none" w:sz="0" w:space="0" w:color="auto"/>
          </w:divBdr>
        </w:div>
        <w:div w:id="92173119">
          <w:marLeft w:val="734"/>
          <w:marRight w:val="0"/>
          <w:marTop w:val="115"/>
          <w:marBottom w:val="0"/>
          <w:divBdr>
            <w:top w:val="none" w:sz="0" w:space="0" w:color="auto"/>
            <w:left w:val="none" w:sz="0" w:space="0" w:color="auto"/>
            <w:bottom w:val="none" w:sz="0" w:space="0" w:color="auto"/>
            <w:right w:val="none" w:sz="0" w:space="0" w:color="auto"/>
          </w:divBdr>
        </w:div>
        <w:div w:id="97066695">
          <w:marLeft w:val="734"/>
          <w:marRight w:val="0"/>
          <w:marTop w:val="115"/>
          <w:marBottom w:val="0"/>
          <w:divBdr>
            <w:top w:val="none" w:sz="0" w:space="0" w:color="auto"/>
            <w:left w:val="none" w:sz="0" w:space="0" w:color="auto"/>
            <w:bottom w:val="none" w:sz="0" w:space="0" w:color="auto"/>
            <w:right w:val="none" w:sz="0" w:space="0" w:color="auto"/>
          </w:divBdr>
        </w:div>
        <w:div w:id="97992420">
          <w:marLeft w:val="1426"/>
          <w:marRight w:val="0"/>
          <w:marTop w:val="77"/>
          <w:marBottom w:val="0"/>
          <w:divBdr>
            <w:top w:val="none" w:sz="0" w:space="0" w:color="auto"/>
            <w:left w:val="none" w:sz="0" w:space="0" w:color="auto"/>
            <w:bottom w:val="none" w:sz="0" w:space="0" w:color="auto"/>
            <w:right w:val="none" w:sz="0" w:space="0" w:color="auto"/>
          </w:divBdr>
        </w:div>
        <w:div w:id="105664266">
          <w:marLeft w:val="734"/>
          <w:marRight w:val="0"/>
          <w:marTop w:val="115"/>
          <w:marBottom w:val="0"/>
          <w:divBdr>
            <w:top w:val="none" w:sz="0" w:space="0" w:color="auto"/>
            <w:left w:val="none" w:sz="0" w:space="0" w:color="auto"/>
            <w:bottom w:val="none" w:sz="0" w:space="0" w:color="auto"/>
            <w:right w:val="none" w:sz="0" w:space="0" w:color="auto"/>
          </w:divBdr>
        </w:div>
        <w:div w:id="134419359">
          <w:marLeft w:val="734"/>
          <w:marRight w:val="0"/>
          <w:marTop w:val="115"/>
          <w:marBottom w:val="0"/>
          <w:divBdr>
            <w:top w:val="none" w:sz="0" w:space="0" w:color="auto"/>
            <w:left w:val="none" w:sz="0" w:space="0" w:color="auto"/>
            <w:bottom w:val="none" w:sz="0" w:space="0" w:color="auto"/>
            <w:right w:val="none" w:sz="0" w:space="0" w:color="auto"/>
          </w:divBdr>
        </w:div>
        <w:div w:id="148524550">
          <w:marLeft w:val="734"/>
          <w:marRight w:val="0"/>
          <w:marTop w:val="115"/>
          <w:marBottom w:val="0"/>
          <w:divBdr>
            <w:top w:val="none" w:sz="0" w:space="0" w:color="auto"/>
            <w:left w:val="none" w:sz="0" w:space="0" w:color="auto"/>
            <w:bottom w:val="none" w:sz="0" w:space="0" w:color="auto"/>
            <w:right w:val="none" w:sz="0" w:space="0" w:color="auto"/>
          </w:divBdr>
        </w:div>
        <w:div w:id="151139941">
          <w:marLeft w:val="1426"/>
          <w:marRight w:val="0"/>
          <w:marTop w:val="96"/>
          <w:marBottom w:val="0"/>
          <w:divBdr>
            <w:top w:val="none" w:sz="0" w:space="0" w:color="auto"/>
            <w:left w:val="none" w:sz="0" w:space="0" w:color="auto"/>
            <w:bottom w:val="none" w:sz="0" w:space="0" w:color="auto"/>
            <w:right w:val="none" w:sz="0" w:space="0" w:color="auto"/>
          </w:divBdr>
        </w:div>
        <w:div w:id="157310390">
          <w:marLeft w:val="734"/>
          <w:marRight w:val="0"/>
          <w:marTop w:val="154"/>
          <w:marBottom w:val="0"/>
          <w:divBdr>
            <w:top w:val="none" w:sz="0" w:space="0" w:color="auto"/>
            <w:left w:val="none" w:sz="0" w:space="0" w:color="auto"/>
            <w:bottom w:val="none" w:sz="0" w:space="0" w:color="auto"/>
            <w:right w:val="none" w:sz="0" w:space="0" w:color="auto"/>
          </w:divBdr>
        </w:div>
        <w:div w:id="168058233">
          <w:marLeft w:val="1426"/>
          <w:marRight w:val="0"/>
          <w:marTop w:val="96"/>
          <w:marBottom w:val="0"/>
          <w:divBdr>
            <w:top w:val="none" w:sz="0" w:space="0" w:color="auto"/>
            <w:left w:val="none" w:sz="0" w:space="0" w:color="auto"/>
            <w:bottom w:val="none" w:sz="0" w:space="0" w:color="auto"/>
            <w:right w:val="none" w:sz="0" w:space="0" w:color="auto"/>
          </w:divBdr>
        </w:div>
        <w:div w:id="172379326">
          <w:marLeft w:val="734"/>
          <w:marRight w:val="0"/>
          <w:marTop w:val="115"/>
          <w:marBottom w:val="0"/>
          <w:divBdr>
            <w:top w:val="none" w:sz="0" w:space="0" w:color="auto"/>
            <w:left w:val="none" w:sz="0" w:space="0" w:color="auto"/>
            <w:bottom w:val="none" w:sz="0" w:space="0" w:color="auto"/>
            <w:right w:val="none" w:sz="0" w:space="0" w:color="auto"/>
          </w:divBdr>
        </w:div>
        <w:div w:id="178667061">
          <w:marLeft w:val="1426"/>
          <w:marRight w:val="0"/>
          <w:marTop w:val="96"/>
          <w:marBottom w:val="0"/>
          <w:divBdr>
            <w:top w:val="none" w:sz="0" w:space="0" w:color="auto"/>
            <w:left w:val="none" w:sz="0" w:space="0" w:color="auto"/>
            <w:bottom w:val="none" w:sz="0" w:space="0" w:color="auto"/>
            <w:right w:val="none" w:sz="0" w:space="0" w:color="auto"/>
          </w:divBdr>
        </w:div>
        <w:div w:id="195898712">
          <w:marLeft w:val="734"/>
          <w:marRight w:val="0"/>
          <w:marTop w:val="115"/>
          <w:marBottom w:val="0"/>
          <w:divBdr>
            <w:top w:val="none" w:sz="0" w:space="0" w:color="auto"/>
            <w:left w:val="none" w:sz="0" w:space="0" w:color="auto"/>
            <w:bottom w:val="none" w:sz="0" w:space="0" w:color="auto"/>
            <w:right w:val="none" w:sz="0" w:space="0" w:color="auto"/>
          </w:divBdr>
        </w:div>
        <w:div w:id="215893605">
          <w:marLeft w:val="734"/>
          <w:marRight w:val="0"/>
          <w:marTop w:val="115"/>
          <w:marBottom w:val="0"/>
          <w:divBdr>
            <w:top w:val="none" w:sz="0" w:space="0" w:color="auto"/>
            <w:left w:val="none" w:sz="0" w:space="0" w:color="auto"/>
            <w:bottom w:val="none" w:sz="0" w:space="0" w:color="auto"/>
            <w:right w:val="none" w:sz="0" w:space="0" w:color="auto"/>
          </w:divBdr>
        </w:div>
        <w:div w:id="221789335">
          <w:marLeft w:val="734"/>
          <w:marRight w:val="0"/>
          <w:marTop w:val="154"/>
          <w:marBottom w:val="0"/>
          <w:divBdr>
            <w:top w:val="none" w:sz="0" w:space="0" w:color="auto"/>
            <w:left w:val="none" w:sz="0" w:space="0" w:color="auto"/>
            <w:bottom w:val="none" w:sz="0" w:space="0" w:color="auto"/>
            <w:right w:val="none" w:sz="0" w:space="0" w:color="auto"/>
          </w:divBdr>
        </w:div>
        <w:div w:id="226963405">
          <w:marLeft w:val="734"/>
          <w:marRight w:val="0"/>
          <w:marTop w:val="115"/>
          <w:marBottom w:val="0"/>
          <w:divBdr>
            <w:top w:val="none" w:sz="0" w:space="0" w:color="auto"/>
            <w:left w:val="none" w:sz="0" w:space="0" w:color="auto"/>
            <w:bottom w:val="none" w:sz="0" w:space="0" w:color="auto"/>
            <w:right w:val="none" w:sz="0" w:space="0" w:color="auto"/>
          </w:divBdr>
        </w:div>
        <w:div w:id="240212333">
          <w:marLeft w:val="1426"/>
          <w:marRight w:val="0"/>
          <w:marTop w:val="96"/>
          <w:marBottom w:val="0"/>
          <w:divBdr>
            <w:top w:val="none" w:sz="0" w:space="0" w:color="auto"/>
            <w:left w:val="none" w:sz="0" w:space="0" w:color="auto"/>
            <w:bottom w:val="none" w:sz="0" w:space="0" w:color="auto"/>
            <w:right w:val="none" w:sz="0" w:space="0" w:color="auto"/>
          </w:divBdr>
        </w:div>
        <w:div w:id="254366609">
          <w:marLeft w:val="1426"/>
          <w:marRight w:val="0"/>
          <w:marTop w:val="96"/>
          <w:marBottom w:val="0"/>
          <w:divBdr>
            <w:top w:val="none" w:sz="0" w:space="0" w:color="auto"/>
            <w:left w:val="none" w:sz="0" w:space="0" w:color="auto"/>
            <w:bottom w:val="none" w:sz="0" w:space="0" w:color="auto"/>
            <w:right w:val="none" w:sz="0" w:space="0" w:color="auto"/>
          </w:divBdr>
        </w:div>
        <w:div w:id="255939147">
          <w:marLeft w:val="734"/>
          <w:marRight w:val="0"/>
          <w:marTop w:val="96"/>
          <w:marBottom w:val="0"/>
          <w:divBdr>
            <w:top w:val="none" w:sz="0" w:space="0" w:color="auto"/>
            <w:left w:val="none" w:sz="0" w:space="0" w:color="auto"/>
            <w:bottom w:val="none" w:sz="0" w:space="0" w:color="auto"/>
            <w:right w:val="none" w:sz="0" w:space="0" w:color="auto"/>
          </w:divBdr>
        </w:div>
        <w:div w:id="281811261">
          <w:marLeft w:val="734"/>
          <w:marRight w:val="0"/>
          <w:marTop w:val="115"/>
          <w:marBottom w:val="0"/>
          <w:divBdr>
            <w:top w:val="none" w:sz="0" w:space="0" w:color="auto"/>
            <w:left w:val="none" w:sz="0" w:space="0" w:color="auto"/>
            <w:bottom w:val="none" w:sz="0" w:space="0" w:color="auto"/>
            <w:right w:val="none" w:sz="0" w:space="0" w:color="auto"/>
          </w:divBdr>
        </w:div>
        <w:div w:id="293490115">
          <w:marLeft w:val="734"/>
          <w:marRight w:val="0"/>
          <w:marTop w:val="115"/>
          <w:marBottom w:val="0"/>
          <w:divBdr>
            <w:top w:val="none" w:sz="0" w:space="0" w:color="auto"/>
            <w:left w:val="none" w:sz="0" w:space="0" w:color="auto"/>
            <w:bottom w:val="none" w:sz="0" w:space="0" w:color="auto"/>
            <w:right w:val="none" w:sz="0" w:space="0" w:color="auto"/>
          </w:divBdr>
        </w:div>
        <w:div w:id="295915218">
          <w:marLeft w:val="734"/>
          <w:marRight w:val="0"/>
          <w:marTop w:val="96"/>
          <w:marBottom w:val="0"/>
          <w:divBdr>
            <w:top w:val="none" w:sz="0" w:space="0" w:color="auto"/>
            <w:left w:val="none" w:sz="0" w:space="0" w:color="auto"/>
            <w:bottom w:val="none" w:sz="0" w:space="0" w:color="auto"/>
            <w:right w:val="none" w:sz="0" w:space="0" w:color="auto"/>
          </w:divBdr>
        </w:div>
        <w:div w:id="296298417">
          <w:marLeft w:val="734"/>
          <w:marRight w:val="0"/>
          <w:marTop w:val="115"/>
          <w:marBottom w:val="0"/>
          <w:divBdr>
            <w:top w:val="none" w:sz="0" w:space="0" w:color="auto"/>
            <w:left w:val="none" w:sz="0" w:space="0" w:color="auto"/>
            <w:bottom w:val="none" w:sz="0" w:space="0" w:color="auto"/>
            <w:right w:val="none" w:sz="0" w:space="0" w:color="auto"/>
          </w:divBdr>
        </w:div>
        <w:div w:id="298457992">
          <w:marLeft w:val="734"/>
          <w:marRight w:val="0"/>
          <w:marTop w:val="154"/>
          <w:marBottom w:val="0"/>
          <w:divBdr>
            <w:top w:val="none" w:sz="0" w:space="0" w:color="auto"/>
            <w:left w:val="none" w:sz="0" w:space="0" w:color="auto"/>
            <w:bottom w:val="none" w:sz="0" w:space="0" w:color="auto"/>
            <w:right w:val="none" w:sz="0" w:space="0" w:color="auto"/>
          </w:divBdr>
        </w:div>
        <w:div w:id="299775124">
          <w:marLeft w:val="734"/>
          <w:marRight w:val="0"/>
          <w:marTop w:val="115"/>
          <w:marBottom w:val="0"/>
          <w:divBdr>
            <w:top w:val="none" w:sz="0" w:space="0" w:color="auto"/>
            <w:left w:val="none" w:sz="0" w:space="0" w:color="auto"/>
            <w:bottom w:val="none" w:sz="0" w:space="0" w:color="auto"/>
            <w:right w:val="none" w:sz="0" w:space="0" w:color="auto"/>
          </w:divBdr>
        </w:div>
        <w:div w:id="302083315">
          <w:marLeft w:val="734"/>
          <w:marRight w:val="0"/>
          <w:marTop w:val="115"/>
          <w:marBottom w:val="0"/>
          <w:divBdr>
            <w:top w:val="none" w:sz="0" w:space="0" w:color="auto"/>
            <w:left w:val="none" w:sz="0" w:space="0" w:color="auto"/>
            <w:bottom w:val="none" w:sz="0" w:space="0" w:color="auto"/>
            <w:right w:val="none" w:sz="0" w:space="0" w:color="auto"/>
          </w:divBdr>
        </w:div>
        <w:div w:id="302349245">
          <w:marLeft w:val="1426"/>
          <w:marRight w:val="0"/>
          <w:marTop w:val="96"/>
          <w:marBottom w:val="0"/>
          <w:divBdr>
            <w:top w:val="none" w:sz="0" w:space="0" w:color="auto"/>
            <w:left w:val="none" w:sz="0" w:space="0" w:color="auto"/>
            <w:bottom w:val="none" w:sz="0" w:space="0" w:color="auto"/>
            <w:right w:val="none" w:sz="0" w:space="0" w:color="auto"/>
          </w:divBdr>
        </w:div>
        <w:div w:id="309403612">
          <w:marLeft w:val="734"/>
          <w:marRight w:val="0"/>
          <w:marTop w:val="115"/>
          <w:marBottom w:val="0"/>
          <w:divBdr>
            <w:top w:val="none" w:sz="0" w:space="0" w:color="auto"/>
            <w:left w:val="none" w:sz="0" w:space="0" w:color="auto"/>
            <w:bottom w:val="none" w:sz="0" w:space="0" w:color="auto"/>
            <w:right w:val="none" w:sz="0" w:space="0" w:color="auto"/>
          </w:divBdr>
        </w:div>
        <w:div w:id="309410221">
          <w:marLeft w:val="734"/>
          <w:marRight w:val="0"/>
          <w:marTop w:val="144"/>
          <w:marBottom w:val="0"/>
          <w:divBdr>
            <w:top w:val="none" w:sz="0" w:space="0" w:color="auto"/>
            <w:left w:val="none" w:sz="0" w:space="0" w:color="auto"/>
            <w:bottom w:val="none" w:sz="0" w:space="0" w:color="auto"/>
            <w:right w:val="none" w:sz="0" w:space="0" w:color="auto"/>
          </w:divBdr>
        </w:div>
        <w:div w:id="319695059">
          <w:marLeft w:val="1426"/>
          <w:marRight w:val="0"/>
          <w:marTop w:val="96"/>
          <w:marBottom w:val="0"/>
          <w:divBdr>
            <w:top w:val="none" w:sz="0" w:space="0" w:color="auto"/>
            <w:left w:val="none" w:sz="0" w:space="0" w:color="auto"/>
            <w:bottom w:val="none" w:sz="0" w:space="0" w:color="auto"/>
            <w:right w:val="none" w:sz="0" w:space="0" w:color="auto"/>
          </w:divBdr>
        </w:div>
        <w:div w:id="320698977">
          <w:marLeft w:val="1426"/>
          <w:marRight w:val="0"/>
          <w:marTop w:val="77"/>
          <w:marBottom w:val="0"/>
          <w:divBdr>
            <w:top w:val="none" w:sz="0" w:space="0" w:color="auto"/>
            <w:left w:val="none" w:sz="0" w:space="0" w:color="auto"/>
            <w:bottom w:val="none" w:sz="0" w:space="0" w:color="auto"/>
            <w:right w:val="none" w:sz="0" w:space="0" w:color="auto"/>
          </w:divBdr>
        </w:div>
        <w:div w:id="325983809">
          <w:marLeft w:val="1426"/>
          <w:marRight w:val="0"/>
          <w:marTop w:val="96"/>
          <w:marBottom w:val="0"/>
          <w:divBdr>
            <w:top w:val="none" w:sz="0" w:space="0" w:color="auto"/>
            <w:left w:val="none" w:sz="0" w:space="0" w:color="auto"/>
            <w:bottom w:val="none" w:sz="0" w:space="0" w:color="auto"/>
            <w:right w:val="none" w:sz="0" w:space="0" w:color="auto"/>
          </w:divBdr>
        </w:div>
        <w:div w:id="332296959">
          <w:marLeft w:val="1426"/>
          <w:marRight w:val="0"/>
          <w:marTop w:val="96"/>
          <w:marBottom w:val="0"/>
          <w:divBdr>
            <w:top w:val="none" w:sz="0" w:space="0" w:color="auto"/>
            <w:left w:val="none" w:sz="0" w:space="0" w:color="auto"/>
            <w:bottom w:val="none" w:sz="0" w:space="0" w:color="auto"/>
            <w:right w:val="none" w:sz="0" w:space="0" w:color="auto"/>
          </w:divBdr>
        </w:div>
        <w:div w:id="332489114">
          <w:marLeft w:val="734"/>
          <w:marRight w:val="0"/>
          <w:marTop w:val="115"/>
          <w:marBottom w:val="0"/>
          <w:divBdr>
            <w:top w:val="none" w:sz="0" w:space="0" w:color="auto"/>
            <w:left w:val="none" w:sz="0" w:space="0" w:color="auto"/>
            <w:bottom w:val="none" w:sz="0" w:space="0" w:color="auto"/>
            <w:right w:val="none" w:sz="0" w:space="0" w:color="auto"/>
          </w:divBdr>
        </w:div>
        <w:div w:id="337126389">
          <w:marLeft w:val="734"/>
          <w:marRight w:val="0"/>
          <w:marTop w:val="154"/>
          <w:marBottom w:val="0"/>
          <w:divBdr>
            <w:top w:val="none" w:sz="0" w:space="0" w:color="auto"/>
            <w:left w:val="none" w:sz="0" w:space="0" w:color="auto"/>
            <w:bottom w:val="none" w:sz="0" w:space="0" w:color="auto"/>
            <w:right w:val="none" w:sz="0" w:space="0" w:color="auto"/>
          </w:divBdr>
        </w:div>
        <w:div w:id="338629437">
          <w:marLeft w:val="734"/>
          <w:marRight w:val="0"/>
          <w:marTop w:val="115"/>
          <w:marBottom w:val="0"/>
          <w:divBdr>
            <w:top w:val="none" w:sz="0" w:space="0" w:color="auto"/>
            <w:left w:val="none" w:sz="0" w:space="0" w:color="auto"/>
            <w:bottom w:val="none" w:sz="0" w:space="0" w:color="auto"/>
            <w:right w:val="none" w:sz="0" w:space="0" w:color="auto"/>
          </w:divBdr>
        </w:div>
        <w:div w:id="343828963">
          <w:marLeft w:val="1426"/>
          <w:marRight w:val="0"/>
          <w:marTop w:val="96"/>
          <w:marBottom w:val="0"/>
          <w:divBdr>
            <w:top w:val="none" w:sz="0" w:space="0" w:color="auto"/>
            <w:left w:val="none" w:sz="0" w:space="0" w:color="auto"/>
            <w:bottom w:val="none" w:sz="0" w:space="0" w:color="auto"/>
            <w:right w:val="none" w:sz="0" w:space="0" w:color="auto"/>
          </w:divBdr>
        </w:div>
        <w:div w:id="346100131">
          <w:marLeft w:val="1426"/>
          <w:marRight w:val="0"/>
          <w:marTop w:val="96"/>
          <w:marBottom w:val="0"/>
          <w:divBdr>
            <w:top w:val="none" w:sz="0" w:space="0" w:color="auto"/>
            <w:left w:val="none" w:sz="0" w:space="0" w:color="auto"/>
            <w:bottom w:val="none" w:sz="0" w:space="0" w:color="auto"/>
            <w:right w:val="none" w:sz="0" w:space="0" w:color="auto"/>
          </w:divBdr>
        </w:div>
        <w:div w:id="346566968">
          <w:marLeft w:val="734"/>
          <w:marRight w:val="0"/>
          <w:marTop w:val="115"/>
          <w:marBottom w:val="0"/>
          <w:divBdr>
            <w:top w:val="none" w:sz="0" w:space="0" w:color="auto"/>
            <w:left w:val="none" w:sz="0" w:space="0" w:color="auto"/>
            <w:bottom w:val="none" w:sz="0" w:space="0" w:color="auto"/>
            <w:right w:val="none" w:sz="0" w:space="0" w:color="auto"/>
          </w:divBdr>
        </w:div>
        <w:div w:id="351566534">
          <w:marLeft w:val="734"/>
          <w:marRight w:val="0"/>
          <w:marTop w:val="115"/>
          <w:marBottom w:val="0"/>
          <w:divBdr>
            <w:top w:val="none" w:sz="0" w:space="0" w:color="auto"/>
            <w:left w:val="none" w:sz="0" w:space="0" w:color="auto"/>
            <w:bottom w:val="none" w:sz="0" w:space="0" w:color="auto"/>
            <w:right w:val="none" w:sz="0" w:space="0" w:color="auto"/>
          </w:divBdr>
        </w:div>
        <w:div w:id="352197303">
          <w:marLeft w:val="1426"/>
          <w:marRight w:val="0"/>
          <w:marTop w:val="96"/>
          <w:marBottom w:val="0"/>
          <w:divBdr>
            <w:top w:val="none" w:sz="0" w:space="0" w:color="auto"/>
            <w:left w:val="none" w:sz="0" w:space="0" w:color="auto"/>
            <w:bottom w:val="none" w:sz="0" w:space="0" w:color="auto"/>
            <w:right w:val="none" w:sz="0" w:space="0" w:color="auto"/>
          </w:divBdr>
        </w:div>
        <w:div w:id="355036492">
          <w:marLeft w:val="734"/>
          <w:marRight w:val="0"/>
          <w:marTop w:val="115"/>
          <w:marBottom w:val="0"/>
          <w:divBdr>
            <w:top w:val="none" w:sz="0" w:space="0" w:color="auto"/>
            <w:left w:val="none" w:sz="0" w:space="0" w:color="auto"/>
            <w:bottom w:val="none" w:sz="0" w:space="0" w:color="auto"/>
            <w:right w:val="none" w:sz="0" w:space="0" w:color="auto"/>
          </w:divBdr>
        </w:div>
        <w:div w:id="364403170">
          <w:marLeft w:val="734"/>
          <w:marRight w:val="0"/>
          <w:marTop w:val="211"/>
          <w:marBottom w:val="0"/>
          <w:divBdr>
            <w:top w:val="none" w:sz="0" w:space="0" w:color="auto"/>
            <w:left w:val="none" w:sz="0" w:space="0" w:color="auto"/>
            <w:bottom w:val="none" w:sz="0" w:space="0" w:color="auto"/>
            <w:right w:val="none" w:sz="0" w:space="0" w:color="auto"/>
          </w:divBdr>
        </w:div>
        <w:div w:id="365837718">
          <w:marLeft w:val="1426"/>
          <w:marRight w:val="0"/>
          <w:marTop w:val="115"/>
          <w:marBottom w:val="0"/>
          <w:divBdr>
            <w:top w:val="none" w:sz="0" w:space="0" w:color="auto"/>
            <w:left w:val="none" w:sz="0" w:space="0" w:color="auto"/>
            <w:bottom w:val="none" w:sz="0" w:space="0" w:color="auto"/>
            <w:right w:val="none" w:sz="0" w:space="0" w:color="auto"/>
          </w:divBdr>
        </w:div>
        <w:div w:id="367876154">
          <w:marLeft w:val="734"/>
          <w:marRight w:val="0"/>
          <w:marTop w:val="96"/>
          <w:marBottom w:val="0"/>
          <w:divBdr>
            <w:top w:val="none" w:sz="0" w:space="0" w:color="auto"/>
            <w:left w:val="none" w:sz="0" w:space="0" w:color="auto"/>
            <w:bottom w:val="none" w:sz="0" w:space="0" w:color="auto"/>
            <w:right w:val="none" w:sz="0" w:space="0" w:color="auto"/>
          </w:divBdr>
        </w:div>
        <w:div w:id="379061793">
          <w:marLeft w:val="1426"/>
          <w:marRight w:val="0"/>
          <w:marTop w:val="96"/>
          <w:marBottom w:val="0"/>
          <w:divBdr>
            <w:top w:val="none" w:sz="0" w:space="0" w:color="auto"/>
            <w:left w:val="none" w:sz="0" w:space="0" w:color="auto"/>
            <w:bottom w:val="none" w:sz="0" w:space="0" w:color="auto"/>
            <w:right w:val="none" w:sz="0" w:space="0" w:color="auto"/>
          </w:divBdr>
        </w:div>
        <w:div w:id="381488842">
          <w:marLeft w:val="734"/>
          <w:marRight w:val="0"/>
          <w:marTop w:val="115"/>
          <w:marBottom w:val="0"/>
          <w:divBdr>
            <w:top w:val="none" w:sz="0" w:space="0" w:color="auto"/>
            <w:left w:val="none" w:sz="0" w:space="0" w:color="auto"/>
            <w:bottom w:val="none" w:sz="0" w:space="0" w:color="auto"/>
            <w:right w:val="none" w:sz="0" w:space="0" w:color="auto"/>
          </w:divBdr>
        </w:div>
        <w:div w:id="385228113">
          <w:marLeft w:val="1426"/>
          <w:marRight w:val="0"/>
          <w:marTop w:val="96"/>
          <w:marBottom w:val="0"/>
          <w:divBdr>
            <w:top w:val="none" w:sz="0" w:space="0" w:color="auto"/>
            <w:left w:val="none" w:sz="0" w:space="0" w:color="auto"/>
            <w:bottom w:val="none" w:sz="0" w:space="0" w:color="auto"/>
            <w:right w:val="none" w:sz="0" w:space="0" w:color="auto"/>
          </w:divBdr>
        </w:div>
        <w:div w:id="385759828">
          <w:marLeft w:val="734"/>
          <w:marRight w:val="0"/>
          <w:marTop w:val="134"/>
          <w:marBottom w:val="0"/>
          <w:divBdr>
            <w:top w:val="none" w:sz="0" w:space="0" w:color="auto"/>
            <w:left w:val="none" w:sz="0" w:space="0" w:color="auto"/>
            <w:bottom w:val="none" w:sz="0" w:space="0" w:color="auto"/>
            <w:right w:val="none" w:sz="0" w:space="0" w:color="auto"/>
          </w:divBdr>
        </w:div>
        <w:div w:id="386301793">
          <w:marLeft w:val="734"/>
          <w:marRight w:val="0"/>
          <w:marTop w:val="115"/>
          <w:marBottom w:val="0"/>
          <w:divBdr>
            <w:top w:val="none" w:sz="0" w:space="0" w:color="auto"/>
            <w:left w:val="none" w:sz="0" w:space="0" w:color="auto"/>
            <w:bottom w:val="none" w:sz="0" w:space="0" w:color="auto"/>
            <w:right w:val="none" w:sz="0" w:space="0" w:color="auto"/>
          </w:divBdr>
        </w:div>
        <w:div w:id="386880754">
          <w:marLeft w:val="734"/>
          <w:marRight w:val="0"/>
          <w:marTop w:val="115"/>
          <w:marBottom w:val="0"/>
          <w:divBdr>
            <w:top w:val="none" w:sz="0" w:space="0" w:color="auto"/>
            <w:left w:val="none" w:sz="0" w:space="0" w:color="auto"/>
            <w:bottom w:val="none" w:sz="0" w:space="0" w:color="auto"/>
            <w:right w:val="none" w:sz="0" w:space="0" w:color="auto"/>
          </w:divBdr>
        </w:div>
        <w:div w:id="394469682">
          <w:marLeft w:val="734"/>
          <w:marRight w:val="0"/>
          <w:marTop w:val="115"/>
          <w:marBottom w:val="0"/>
          <w:divBdr>
            <w:top w:val="none" w:sz="0" w:space="0" w:color="auto"/>
            <w:left w:val="none" w:sz="0" w:space="0" w:color="auto"/>
            <w:bottom w:val="none" w:sz="0" w:space="0" w:color="auto"/>
            <w:right w:val="none" w:sz="0" w:space="0" w:color="auto"/>
          </w:divBdr>
        </w:div>
        <w:div w:id="394593785">
          <w:marLeft w:val="1426"/>
          <w:marRight w:val="0"/>
          <w:marTop w:val="96"/>
          <w:marBottom w:val="0"/>
          <w:divBdr>
            <w:top w:val="none" w:sz="0" w:space="0" w:color="auto"/>
            <w:left w:val="none" w:sz="0" w:space="0" w:color="auto"/>
            <w:bottom w:val="none" w:sz="0" w:space="0" w:color="auto"/>
            <w:right w:val="none" w:sz="0" w:space="0" w:color="auto"/>
          </w:divBdr>
        </w:div>
        <w:div w:id="399980340">
          <w:marLeft w:val="734"/>
          <w:marRight w:val="0"/>
          <w:marTop w:val="115"/>
          <w:marBottom w:val="0"/>
          <w:divBdr>
            <w:top w:val="none" w:sz="0" w:space="0" w:color="auto"/>
            <w:left w:val="none" w:sz="0" w:space="0" w:color="auto"/>
            <w:bottom w:val="none" w:sz="0" w:space="0" w:color="auto"/>
            <w:right w:val="none" w:sz="0" w:space="0" w:color="auto"/>
          </w:divBdr>
        </w:div>
        <w:div w:id="400561706">
          <w:marLeft w:val="734"/>
          <w:marRight w:val="0"/>
          <w:marTop w:val="115"/>
          <w:marBottom w:val="0"/>
          <w:divBdr>
            <w:top w:val="none" w:sz="0" w:space="0" w:color="auto"/>
            <w:left w:val="none" w:sz="0" w:space="0" w:color="auto"/>
            <w:bottom w:val="none" w:sz="0" w:space="0" w:color="auto"/>
            <w:right w:val="none" w:sz="0" w:space="0" w:color="auto"/>
          </w:divBdr>
        </w:div>
        <w:div w:id="421880778">
          <w:marLeft w:val="734"/>
          <w:marRight w:val="0"/>
          <w:marTop w:val="154"/>
          <w:marBottom w:val="0"/>
          <w:divBdr>
            <w:top w:val="none" w:sz="0" w:space="0" w:color="auto"/>
            <w:left w:val="none" w:sz="0" w:space="0" w:color="auto"/>
            <w:bottom w:val="none" w:sz="0" w:space="0" w:color="auto"/>
            <w:right w:val="none" w:sz="0" w:space="0" w:color="auto"/>
          </w:divBdr>
        </w:div>
        <w:div w:id="426852968">
          <w:marLeft w:val="1426"/>
          <w:marRight w:val="0"/>
          <w:marTop w:val="77"/>
          <w:marBottom w:val="0"/>
          <w:divBdr>
            <w:top w:val="none" w:sz="0" w:space="0" w:color="auto"/>
            <w:left w:val="none" w:sz="0" w:space="0" w:color="auto"/>
            <w:bottom w:val="none" w:sz="0" w:space="0" w:color="auto"/>
            <w:right w:val="none" w:sz="0" w:space="0" w:color="auto"/>
          </w:divBdr>
        </w:div>
        <w:div w:id="439178439">
          <w:marLeft w:val="734"/>
          <w:marRight w:val="0"/>
          <w:marTop w:val="115"/>
          <w:marBottom w:val="0"/>
          <w:divBdr>
            <w:top w:val="none" w:sz="0" w:space="0" w:color="auto"/>
            <w:left w:val="none" w:sz="0" w:space="0" w:color="auto"/>
            <w:bottom w:val="none" w:sz="0" w:space="0" w:color="auto"/>
            <w:right w:val="none" w:sz="0" w:space="0" w:color="auto"/>
          </w:divBdr>
        </w:div>
        <w:div w:id="440881661">
          <w:marLeft w:val="1426"/>
          <w:marRight w:val="0"/>
          <w:marTop w:val="115"/>
          <w:marBottom w:val="0"/>
          <w:divBdr>
            <w:top w:val="none" w:sz="0" w:space="0" w:color="auto"/>
            <w:left w:val="none" w:sz="0" w:space="0" w:color="auto"/>
            <w:bottom w:val="none" w:sz="0" w:space="0" w:color="auto"/>
            <w:right w:val="none" w:sz="0" w:space="0" w:color="auto"/>
          </w:divBdr>
        </w:div>
        <w:div w:id="455375996">
          <w:marLeft w:val="1426"/>
          <w:marRight w:val="0"/>
          <w:marTop w:val="96"/>
          <w:marBottom w:val="0"/>
          <w:divBdr>
            <w:top w:val="none" w:sz="0" w:space="0" w:color="auto"/>
            <w:left w:val="none" w:sz="0" w:space="0" w:color="auto"/>
            <w:bottom w:val="none" w:sz="0" w:space="0" w:color="auto"/>
            <w:right w:val="none" w:sz="0" w:space="0" w:color="auto"/>
          </w:divBdr>
        </w:div>
        <w:div w:id="460466098">
          <w:marLeft w:val="734"/>
          <w:marRight w:val="0"/>
          <w:marTop w:val="115"/>
          <w:marBottom w:val="0"/>
          <w:divBdr>
            <w:top w:val="none" w:sz="0" w:space="0" w:color="auto"/>
            <w:left w:val="none" w:sz="0" w:space="0" w:color="auto"/>
            <w:bottom w:val="none" w:sz="0" w:space="0" w:color="auto"/>
            <w:right w:val="none" w:sz="0" w:space="0" w:color="auto"/>
          </w:divBdr>
        </w:div>
        <w:div w:id="460653990">
          <w:marLeft w:val="734"/>
          <w:marRight w:val="0"/>
          <w:marTop w:val="154"/>
          <w:marBottom w:val="0"/>
          <w:divBdr>
            <w:top w:val="none" w:sz="0" w:space="0" w:color="auto"/>
            <w:left w:val="none" w:sz="0" w:space="0" w:color="auto"/>
            <w:bottom w:val="none" w:sz="0" w:space="0" w:color="auto"/>
            <w:right w:val="none" w:sz="0" w:space="0" w:color="auto"/>
          </w:divBdr>
        </w:div>
        <w:div w:id="466631786">
          <w:marLeft w:val="734"/>
          <w:marRight w:val="0"/>
          <w:marTop w:val="230"/>
          <w:marBottom w:val="0"/>
          <w:divBdr>
            <w:top w:val="none" w:sz="0" w:space="0" w:color="auto"/>
            <w:left w:val="none" w:sz="0" w:space="0" w:color="auto"/>
            <w:bottom w:val="none" w:sz="0" w:space="0" w:color="auto"/>
            <w:right w:val="none" w:sz="0" w:space="0" w:color="auto"/>
          </w:divBdr>
        </w:div>
        <w:div w:id="471946232">
          <w:marLeft w:val="734"/>
          <w:marRight w:val="0"/>
          <w:marTop w:val="115"/>
          <w:marBottom w:val="0"/>
          <w:divBdr>
            <w:top w:val="none" w:sz="0" w:space="0" w:color="auto"/>
            <w:left w:val="none" w:sz="0" w:space="0" w:color="auto"/>
            <w:bottom w:val="none" w:sz="0" w:space="0" w:color="auto"/>
            <w:right w:val="none" w:sz="0" w:space="0" w:color="auto"/>
          </w:divBdr>
        </w:div>
        <w:div w:id="483668816">
          <w:marLeft w:val="734"/>
          <w:marRight w:val="0"/>
          <w:marTop w:val="115"/>
          <w:marBottom w:val="0"/>
          <w:divBdr>
            <w:top w:val="none" w:sz="0" w:space="0" w:color="auto"/>
            <w:left w:val="none" w:sz="0" w:space="0" w:color="auto"/>
            <w:bottom w:val="none" w:sz="0" w:space="0" w:color="auto"/>
            <w:right w:val="none" w:sz="0" w:space="0" w:color="auto"/>
          </w:divBdr>
        </w:div>
        <w:div w:id="484660348">
          <w:marLeft w:val="734"/>
          <w:marRight w:val="0"/>
          <w:marTop w:val="115"/>
          <w:marBottom w:val="0"/>
          <w:divBdr>
            <w:top w:val="none" w:sz="0" w:space="0" w:color="auto"/>
            <w:left w:val="none" w:sz="0" w:space="0" w:color="auto"/>
            <w:bottom w:val="none" w:sz="0" w:space="0" w:color="auto"/>
            <w:right w:val="none" w:sz="0" w:space="0" w:color="auto"/>
          </w:divBdr>
        </w:div>
        <w:div w:id="493224234">
          <w:marLeft w:val="734"/>
          <w:marRight w:val="0"/>
          <w:marTop w:val="115"/>
          <w:marBottom w:val="0"/>
          <w:divBdr>
            <w:top w:val="none" w:sz="0" w:space="0" w:color="auto"/>
            <w:left w:val="none" w:sz="0" w:space="0" w:color="auto"/>
            <w:bottom w:val="none" w:sz="0" w:space="0" w:color="auto"/>
            <w:right w:val="none" w:sz="0" w:space="0" w:color="auto"/>
          </w:divBdr>
        </w:div>
        <w:div w:id="497162605">
          <w:marLeft w:val="1426"/>
          <w:marRight w:val="0"/>
          <w:marTop w:val="96"/>
          <w:marBottom w:val="0"/>
          <w:divBdr>
            <w:top w:val="none" w:sz="0" w:space="0" w:color="auto"/>
            <w:left w:val="none" w:sz="0" w:space="0" w:color="auto"/>
            <w:bottom w:val="none" w:sz="0" w:space="0" w:color="auto"/>
            <w:right w:val="none" w:sz="0" w:space="0" w:color="auto"/>
          </w:divBdr>
        </w:div>
        <w:div w:id="505940786">
          <w:marLeft w:val="734"/>
          <w:marRight w:val="0"/>
          <w:marTop w:val="115"/>
          <w:marBottom w:val="0"/>
          <w:divBdr>
            <w:top w:val="none" w:sz="0" w:space="0" w:color="auto"/>
            <w:left w:val="none" w:sz="0" w:space="0" w:color="auto"/>
            <w:bottom w:val="none" w:sz="0" w:space="0" w:color="auto"/>
            <w:right w:val="none" w:sz="0" w:space="0" w:color="auto"/>
          </w:divBdr>
        </w:div>
        <w:div w:id="531379988">
          <w:marLeft w:val="734"/>
          <w:marRight w:val="0"/>
          <w:marTop w:val="173"/>
          <w:marBottom w:val="0"/>
          <w:divBdr>
            <w:top w:val="none" w:sz="0" w:space="0" w:color="auto"/>
            <w:left w:val="none" w:sz="0" w:space="0" w:color="auto"/>
            <w:bottom w:val="none" w:sz="0" w:space="0" w:color="auto"/>
            <w:right w:val="none" w:sz="0" w:space="0" w:color="auto"/>
          </w:divBdr>
        </w:div>
        <w:div w:id="537816214">
          <w:marLeft w:val="1426"/>
          <w:marRight w:val="0"/>
          <w:marTop w:val="96"/>
          <w:marBottom w:val="0"/>
          <w:divBdr>
            <w:top w:val="none" w:sz="0" w:space="0" w:color="auto"/>
            <w:left w:val="none" w:sz="0" w:space="0" w:color="auto"/>
            <w:bottom w:val="none" w:sz="0" w:space="0" w:color="auto"/>
            <w:right w:val="none" w:sz="0" w:space="0" w:color="auto"/>
          </w:divBdr>
        </w:div>
        <w:div w:id="577592030">
          <w:marLeft w:val="1426"/>
          <w:marRight w:val="0"/>
          <w:marTop w:val="96"/>
          <w:marBottom w:val="0"/>
          <w:divBdr>
            <w:top w:val="none" w:sz="0" w:space="0" w:color="auto"/>
            <w:left w:val="none" w:sz="0" w:space="0" w:color="auto"/>
            <w:bottom w:val="none" w:sz="0" w:space="0" w:color="auto"/>
            <w:right w:val="none" w:sz="0" w:space="0" w:color="auto"/>
          </w:divBdr>
        </w:div>
        <w:div w:id="582639849">
          <w:marLeft w:val="734"/>
          <w:marRight w:val="0"/>
          <w:marTop w:val="115"/>
          <w:marBottom w:val="0"/>
          <w:divBdr>
            <w:top w:val="none" w:sz="0" w:space="0" w:color="auto"/>
            <w:left w:val="none" w:sz="0" w:space="0" w:color="auto"/>
            <w:bottom w:val="none" w:sz="0" w:space="0" w:color="auto"/>
            <w:right w:val="none" w:sz="0" w:space="0" w:color="auto"/>
          </w:divBdr>
        </w:div>
        <w:div w:id="590506731">
          <w:marLeft w:val="734"/>
          <w:marRight w:val="0"/>
          <w:marTop w:val="115"/>
          <w:marBottom w:val="0"/>
          <w:divBdr>
            <w:top w:val="none" w:sz="0" w:space="0" w:color="auto"/>
            <w:left w:val="none" w:sz="0" w:space="0" w:color="auto"/>
            <w:bottom w:val="none" w:sz="0" w:space="0" w:color="auto"/>
            <w:right w:val="none" w:sz="0" w:space="0" w:color="auto"/>
          </w:divBdr>
        </w:div>
        <w:div w:id="596913190">
          <w:marLeft w:val="734"/>
          <w:marRight w:val="0"/>
          <w:marTop w:val="154"/>
          <w:marBottom w:val="0"/>
          <w:divBdr>
            <w:top w:val="none" w:sz="0" w:space="0" w:color="auto"/>
            <w:left w:val="none" w:sz="0" w:space="0" w:color="auto"/>
            <w:bottom w:val="none" w:sz="0" w:space="0" w:color="auto"/>
            <w:right w:val="none" w:sz="0" w:space="0" w:color="auto"/>
          </w:divBdr>
        </w:div>
        <w:div w:id="599920558">
          <w:marLeft w:val="1426"/>
          <w:marRight w:val="0"/>
          <w:marTop w:val="96"/>
          <w:marBottom w:val="0"/>
          <w:divBdr>
            <w:top w:val="none" w:sz="0" w:space="0" w:color="auto"/>
            <w:left w:val="none" w:sz="0" w:space="0" w:color="auto"/>
            <w:bottom w:val="none" w:sz="0" w:space="0" w:color="auto"/>
            <w:right w:val="none" w:sz="0" w:space="0" w:color="auto"/>
          </w:divBdr>
        </w:div>
        <w:div w:id="600383987">
          <w:marLeft w:val="1426"/>
          <w:marRight w:val="0"/>
          <w:marTop w:val="96"/>
          <w:marBottom w:val="0"/>
          <w:divBdr>
            <w:top w:val="none" w:sz="0" w:space="0" w:color="auto"/>
            <w:left w:val="none" w:sz="0" w:space="0" w:color="auto"/>
            <w:bottom w:val="none" w:sz="0" w:space="0" w:color="auto"/>
            <w:right w:val="none" w:sz="0" w:space="0" w:color="auto"/>
          </w:divBdr>
        </w:div>
        <w:div w:id="603608812">
          <w:marLeft w:val="734"/>
          <w:marRight w:val="0"/>
          <w:marTop w:val="96"/>
          <w:marBottom w:val="0"/>
          <w:divBdr>
            <w:top w:val="none" w:sz="0" w:space="0" w:color="auto"/>
            <w:left w:val="none" w:sz="0" w:space="0" w:color="auto"/>
            <w:bottom w:val="none" w:sz="0" w:space="0" w:color="auto"/>
            <w:right w:val="none" w:sz="0" w:space="0" w:color="auto"/>
          </w:divBdr>
        </w:div>
        <w:div w:id="612057430">
          <w:marLeft w:val="1426"/>
          <w:marRight w:val="0"/>
          <w:marTop w:val="77"/>
          <w:marBottom w:val="0"/>
          <w:divBdr>
            <w:top w:val="none" w:sz="0" w:space="0" w:color="auto"/>
            <w:left w:val="none" w:sz="0" w:space="0" w:color="auto"/>
            <w:bottom w:val="none" w:sz="0" w:space="0" w:color="auto"/>
            <w:right w:val="none" w:sz="0" w:space="0" w:color="auto"/>
          </w:divBdr>
        </w:div>
        <w:div w:id="689987117">
          <w:marLeft w:val="1426"/>
          <w:marRight w:val="0"/>
          <w:marTop w:val="96"/>
          <w:marBottom w:val="0"/>
          <w:divBdr>
            <w:top w:val="none" w:sz="0" w:space="0" w:color="auto"/>
            <w:left w:val="none" w:sz="0" w:space="0" w:color="auto"/>
            <w:bottom w:val="none" w:sz="0" w:space="0" w:color="auto"/>
            <w:right w:val="none" w:sz="0" w:space="0" w:color="auto"/>
          </w:divBdr>
        </w:div>
        <w:div w:id="691108991">
          <w:marLeft w:val="734"/>
          <w:marRight w:val="0"/>
          <w:marTop w:val="115"/>
          <w:marBottom w:val="0"/>
          <w:divBdr>
            <w:top w:val="none" w:sz="0" w:space="0" w:color="auto"/>
            <w:left w:val="none" w:sz="0" w:space="0" w:color="auto"/>
            <w:bottom w:val="none" w:sz="0" w:space="0" w:color="auto"/>
            <w:right w:val="none" w:sz="0" w:space="0" w:color="auto"/>
          </w:divBdr>
        </w:div>
        <w:div w:id="701126135">
          <w:marLeft w:val="734"/>
          <w:marRight w:val="0"/>
          <w:marTop w:val="115"/>
          <w:marBottom w:val="0"/>
          <w:divBdr>
            <w:top w:val="none" w:sz="0" w:space="0" w:color="auto"/>
            <w:left w:val="none" w:sz="0" w:space="0" w:color="auto"/>
            <w:bottom w:val="none" w:sz="0" w:space="0" w:color="auto"/>
            <w:right w:val="none" w:sz="0" w:space="0" w:color="auto"/>
          </w:divBdr>
        </w:div>
        <w:div w:id="729424600">
          <w:marLeft w:val="1426"/>
          <w:marRight w:val="0"/>
          <w:marTop w:val="96"/>
          <w:marBottom w:val="0"/>
          <w:divBdr>
            <w:top w:val="none" w:sz="0" w:space="0" w:color="auto"/>
            <w:left w:val="none" w:sz="0" w:space="0" w:color="auto"/>
            <w:bottom w:val="none" w:sz="0" w:space="0" w:color="auto"/>
            <w:right w:val="none" w:sz="0" w:space="0" w:color="auto"/>
          </w:divBdr>
        </w:div>
        <w:div w:id="729621543">
          <w:marLeft w:val="734"/>
          <w:marRight w:val="0"/>
          <w:marTop w:val="115"/>
          <w:marBottom w:val="0"/>
          <w:divBdr>
            <w:top w:val="none" w:sz="0" w:space="0" w:color="auto"/>
            <w:left w:val="none" w:sz="0" w:space="0" w:color="auto"/>
            <w:bottom w:val="none" w:sz="0" w:space="0" w:color="auto"/>
            <w:right w:val="none" w:sz="0" w:space="0" w:color="auto"/>
          </w:divBdr>
        </w:div>
        <w:div w:id="739711801">
          <w:marLeft w:val="1426"/>
          <w:marRight w:val="0"/>
          <w:marTop w:val="96"/>
          <w:marBottom w:val="0"/>
          <w:divBdr>
            <w:top w:val="none" w:sz="0" w:space="0" w:color="auto"/>
            <w:left w:val="none" w:sz="0" w:space="0" w:color="auto"/>
            <w:bottom w:val="none" w:sz="0" w:space="0" w:color="auto"/>
            <w:right w:val="none" w:sz="0" w:space="0" w:color="auto"/>
          </w:divBdr>
        </w:div>
        <w:div w:id="750350586">
          <w:marLeft w:val="734"/>
          <w:marRight w:val="0"/>
          <w:marTop w:val="115"/>
          <w:marBottom w:val="0"/>
          <w:divBdr>
            <w:top w:val="none" w:sz="0" w:space="0" w:color="auto"/>
            <w:left w:val="none" w:sz="0" w:space="0" w:color="auto"/>
            <w:bottom w:val="none" w:sz="0" w:space="0" w:color="auto"/>
            <w:right w:val="none" w:sz="0" w:space="0" w:color="auto"/>
          </w:divBdr>
        </w:div>
        <w:div w:id="752167082">
          <w:marLeft w:val="734"/>
          <w:marRight w:val="0"/>
          <w:marTop w:val="96"/>
          <w:marBottom w:val="0"/>
          <w:divBdr>
            <w:top w:val="none" w:sz="0" w:space="0" w:color="auto"/>
            <w:left w:val="none" w:sz="0" w:space="0" w:color="auto"/>
            <w:bottom w:val="none" w:sz="0" w:space="0" w:color="auto"/>
            <w:right w:val="none" w:sz="0" w:space="0" w:color="auto"/>
          </w:divBdr>
        </w:div>
        <w:div w:id="773940787">
          <w:marLeft w:val="734"/>
          <w:marRight w:val="0"/>
          <w:marTop w:val="115"/>
          <w:marBottom w:val="0"/>
          <w:divBdr>
            <w:top w:val="none" w:sz="0" w:space="0" w:color="auto"/>
            <w:left w:val="none" w:sz="0" w:space="0" w:color="auto"/>
            <w:bottom w:val="none" w:sz="0" w:space="0" w:color="auto"/>
            <w:right w:val="none" w:sz="0" w:space="0" w:color="auto"/>
          </w:divBdr>
        </w:div>
        <w:div w:id="779421140">
          <w:marLeft w:val="1426"/>
          <w:marRight w:val="0"/>
          <w:marTop w:val="86"/>
          <w:marBottom w:val="0"/>
          <w:divBdr>
            <w:top w:val="none" w:sz="0" w:space="0" w:color="auto"/>
            <w:left w:val="none" w:sz="0" w:space="0" w:color="auto"/>
            <w:bottom w:val="none" w:sz="0" w:space="0" w:color="auto"/>
            <w:right w:val="none" w:sz="0" w:space="0" w:color="auto"/>
          </w:divBdr>
        </w:div>
        <w:div w:id="780422416">
          <w:marLeft w:val="734"/>
          <w:marRight w:val="0"/>
          <w:marTop w:val="154"/>
          <w:marBottom w:val="0"/>
          <w:divBdr>
            <w:top w:val="none" w:sz="0" w:space="0" w:color="auto"/>
            <w:left w:val="none" w:sz="0" w:space="0" w:color="auto"/>
            <w:bottom w:val="none" w:sz="0" w:space="0" w:color="auto"/>
            <w:right w:val="none" w:sz="0" w:space="0" w:color="auto"/>
          </w:divBdr>
        </w:div>
        <w:div w:id="792407889">
          <w:marLeft w:val="1426"/>
          <w:marRight w:val="0"/>
          <w:marTop w:val="96"/>
          <w:marBottom w:val="0"/>
          <w:divBdr>
            <w:top w:val="none" w:sz="0" w:space="0" w:color="auto"/>
            <w:left w:val="none" w:sz="0" w:space="0" w:color="auto"/>
            <w:bottom w:val="none" w:sz="0" w:space="0" w:color="auto"/>
            <w:right w:val="none" w:sz="0" w:space="0" w:color="auto"/>
          </w:divBdr>
        </w:div>
        <w:div w:id="795684107">
          <w:marLeft w:val="1426"/>
          <w:marRight w:val="0"/>
          <w:marTop w:val="96"/>
          <w:marBottom w:val="0"/>
          <w:divBdr>
            <w:top w:val="none" w:sz="0" w:space="0" w:color="auto"/>
            <w:left w:val="none" w:sz="0" w:space="0" w:color="auto"/>
            <w:bottom w:val="none" w:sz="0" w:space="0" w:color="auto"/>
            <w:right w:val="none" w:sz="0" w:space="0" w:color="auto"/>
          </w:divBdr>
        </w:div>
        <w:div w:id="801462346">
          <w:marLeft w:val="734"/>
          <w:marRight w:val="0"/>
          <w:marTop w:val="115"/>
          <w:marBottom w:val="0"/>
          <w:divBdr>
            <w:top w:val="none" w:sz="0" w:space="0" w:color="auto"/>
            <w:left w:val="none" w:sz="0" w:space="0" w:color="auto"/>
            <w:bottom w:val="none" w:sz="0" w:space="0" w:color="auto"/>
            <w:right w:val="none" w:sz="0" w:space="0" w:color="auto"/>
          </w:divBdr>
        </w:div>
        <w:div w:id="802888458">
          <w:marLeft w:val="1426"/>
          <w:marRight w:val="0"/>
          <w:marTop w:val="96"/>
          <w:marBottom w:val="0"/>
          <w:divBdr>
            <w:top w:val="none" w:sz="0" w:space="0" w:color="auto"/>
            <w:left w:val="none" w:sz="0" w:space="0" w:color="auto"/>
            <w:bottom w:val="none" w:sz="0" w:space="0" w:color="auto"/>
            <w:right w:val="none" w:sz="0" w:space="0" w:color="auto"/>
          </w:divBdr>
        </w:div>
        <w:div w:id="814251756">
          <w:marLeft w:val="734"/>
          <w:marRight w:val="0"/>
          <w:marTop w:val="115"/>
          <w:marBottom w:val="0"/>
          <w:divBdr>
            <w:top w:val="none" w:sz="0" w:space="0" w:color="auto"/>
            <w:left w:val="none" w:sz="0" w:space="0" w:color="auto"/>
            <w:bottom w:val="none" w:sz="0" w:space="0" w:color="auto"/>
            <w:right w:val="none" w:sz="0" w:space="0" w:color="auto"/>
          </w:divBdr>
        </w:div>
        <w:div w:id="829520809">
          <w:marLeft w:val="734"/>
          <w:marRight w:val="0"/>
          <w:marTop w:val="115"/>
          <w:marBottom w:val="0"/>
          <w:divBdr>
            <w:top w:val="none" w:sz="0" w:space="0" w:color="auto"/>
            <w:left w:val="none" w:sz="0" w:space="0" w:color="auto"/>
            <w:bottom w:val="none" w:sz="0" w:space="0" w:color="auto"/>
            <w:right w:val="none" w:sz="0" w:space="0" w:color="auto"/>
          </w:divBdr>
        </w:div>
        <w:div w:id="832068719">
          <w:marLeft w:val="1426"/>
          <w:marRight w:val="0"/>
          <w:marTop w:val="96"/>
          <w:marBottom w:val="0"/>
          <w:divBdr>
            <w:top w:val="none" w:sz="0" w:space="0" w:color="auto"/>
            <w:left w:val="none" w:sz="0" w:space="0" w:color="auto"/>
            <w:bottom w:val="none" w:sz="0" w:space="0" w:color="auto"/>
            <w:right w:val="none" w:sz="0" w:space="0" w:color="auto"/>
          </w:divBdr>
        </w:div>
        <w:div w:id="857080474">
          <w:marLeft w:val="734"/>
          <w:marRight w:val="0"/>
          <w:marTop w:val="115"/>
          <w:marBottom w:val="0"/>
          <w:divBdr>
            <w:top w:val="none" w:sz="0" w:space="0" w:color="auto"/>
            <w:left w:val="none" w:sz="0" w:space="0" w:color="auto"/>
            <w:bottom w:val="none" w:sz="0" w:space="0" w:color="auto"/>
            <w:right w:val="none" w:sz="0" w:space="0" w:color="auto"/>
          </w:divBdr>
        </w:div>
        <w:div w:id="862133109">
          <w:marLeft w:val="734"/>
          <w:marRight w:val="0"/>
          <w:marTop w:val="115"/>
          <w:marBottom w:val="0"/>
          <w:divBdr>
            <w:top w:val="none" w:sz="0" w:space="0" w:color="auto"/>
            <w:left w:val="none" w:sz="0" w:space="0" w:color="auto"/>
            <w:bottom w:val="none" w:sz="0" w:space="0" w:color="auto"/>
            <w:right w:val="none" w:sz="0" w:space="0" w:color="auto"/>
          </w:divBdr>
        </w:div>
        <w:div w:id="869031742">
          <w:marLeft w:val="734"/>
          <w:marRight w:val="0"/>
          <w:marTop w:val="115"/>
          <w:marBottom w:val="0"/>
          <w:divBdr>
            <w:top w:val="none" w:sz="0" w:space="0" w:color="auto"/>
            <w:left w:val="none" w:sz="0" w:space="0" w:color="auto"/>
            <w:bottom w:val="none" w:sz="0" w:space="0" w:color="auto"/>
            <w:right w:val="none" w:sz="0" w:space="0" w:color="auto"/>
          </w:divBdr>
        </w:div>
        <w:div w:id="869221065">
          <w:marLeft w:val="734"/>
          <w:marRight w:val="0"/>
          <w:marTop w:val="173"/>
          <w:marBottom w:val="0"/>
          <w:divBdr>
            <w:top w:val="none" w:sz="0" w:space="0" w:color="auto"/>
            <w:left w:val="none" w:sz="0" w:space="0" w:color="auto"/>
            <w:bottom w:val="none" w:sz="0" w:space="0" w:color="auto"/>
            <w:right w:val="none" w:sz="0" w:space="0" w:color="auto"/>
          </w:divBdr>
        </w:div>
        <w:div w:id="869612841">
          <w:marLeft w:val="734"/>
          <w:marRight w:val="0"/>
          <w:marTop w:val="115"/>
          <w:marBottom w:val="0"/>
          <w:divBdr>
            <w:top w:val="none" w:sz="0" w:space="0" w:color="auto"/>
            <w:left w:val="none" w:sz="0" w:space="0" w:color="auto"/>
            <w:bottom w:val="none" w:sz="0" w:space="0" w:color="auto"/>
            <w:right w:val="none" w:sz="0" w:space="0" w:color="auto"/>
          </w:divBdr>
        </w:div>
        <w:div w:id="878510974">
          <w:marLeft w:val="1426"/>
          <w:marRight w:val="0"/>
          <w:marTop w:val="96"/>
          <w:marBottom w:val="0"/>
          <w:divBdr>
            <w:top w:val="none" w:sz="0" w:space="0" w:color="auto"/>
            <w:left w:val="none" w:sz="0" w:space="0" w:color="auto"/>
            <w:bottom w:val="none" w:sz="0" w:space="0" w:color="auto"/>
            <w:right w:val="none" w:sz="0" w:space="0" w:color="auto"/>
          </w:divBdr>
        </w:div>
        <w:div w:id="881750247">
          <w:marLeft w:val="734"/>
          <w:marRight w:val="0"/>
          <w:marTop w:val="115"/>
          <w:marBottom w:val="0"/>
          <w:divBdr>
            <w:top w:val="none" w:sz="0" w:space="0" w:color="auto"/>
            <w:left w:val="none" w:sz="0" w:space="0" w:color="auto"/>
            <w:bottom w:val="none" w:sz="0" w:space="0" w:color="auto"/>
            <w:right w:val="none" w:sz="0" w:space="0" w:color="auto"/>
          </w:divBdr>
        </w:div>
        <w:div w:id="885608872">
          <w:marLeft w:val="1426"/>
          <w:marRight w:val="0"/>
          <w:marTop w:val="96"/>
          <w:marBottom w:val="0"/>
          <w:divBdr>
            <w:top w:val="none" w:sz="0" w:space="0" w:color="auto"/>
            <w:left w:val="none" w:sz="0" w:space="0" w:color="auto"/>
            <w:bottom w:val="none" w:sz="0" w:space="0" w:color="auto"/>
            <w:right w:val="none" w:sz="0" w:space="0" w:color="auto"/>
          </w:divBdr>
        </w:div>
        <w:div w:id="887306197">
          <w:marLeft w:val="734"/>
          <w:marRight w:val="0"/>
          <w:marTop w:val="115"/>
          <w:marBottom w:val="0"/>
          <w:divBdr>
            <w:top w:val="none" w:sz="0" w:space="0" w:color="auto"/>
            <w:left w:val="none" w:sz="0" w:space="0" w:color="auto"/>
            <w:bottom w:val="none" w:sz="0" w:space="0" w:color="auto"/>
            <w:right w:val="none" w:sz="0" w:space="0" w:color="auto"/>
          </w:divBdr>
        </w:div>
        <w:div w:id="892083092">
          <w:marLeft w:val="1426"/>
          <w:marRight w:val="0"/>
          <w:marTop w:val="96"/>
          <w:marBottom w:val="0"/>
          <w:divBdr>
            <w:top w:val="none" w:sz="0" w:space="0" w:color="auto"/>
            <w:left w:val="none" w:sz="0" w:space="0" w:color="auto"/>
            <w:bottom w:val="none" w:sz="0" w:space="0" w:color="auto"/>
            <w:right w:val="none" w:sz="0" w:space="0" w:color="auto"/>
          </w:divBdr>
        </w:div>
        <w:div w:id="899826468">
          <w:marLeft w:val="734"/>
          <w:marRight w:val="0"/>
          <w:marTop w:val="115"/>
          <w:marBottom w:val="0"/>
          <w:divBdr>
            <w:top w:val="none" w:sz="0" w:space="0" w:color="auto"/>
            <w:left w:val="none" w:sz="0" w:space="0" w:color="auto"/>
            <w:bottom w:val="none" w:sz="0" w:space="0" w:color="auto"/>
            <w:right w:val="none" w:sz="0" w:space="0" w:color="auto"/>
          </w:divBdr>
        </w:div>
        <w:div w:id="915088981">
          <w:marLeft w:val="1426"/>
          <w:marRight w:val="0"/>
          <w:marTop w:val="86"/>
          <w:marBottom w:val="0"/>
          <w:divBdr>
            <w:top w:val="none" w:sz="0" w:space="0" w:color="auto"/>
            <w:left w:val="none" w:sz="0" w:space="0" w:color="auto"/>
            <w:bottom w:val="none" w:sz="0" w:space="0" w:color="auto"/>
            <w:right w:val="none" w:sz="0" w:space="0" w:color="auto"/>
          </w:divBdr>
        </w:div>
        <w:div w:id="927156418">
          <w:marLeft w:val="734"/>
          <w:marRight w:val="0"/>
          <w:marTop w:val="115"/>
          <w:marBottom w:val="0"/>
          <w:divBdr>
            <w:top w:val="none" w:sz="0" w:space="0" w:color="auto"/>
            <w:left w:val="none" w:sz="0" w:space="0" w:color="auto"/>
            <w:bottom w:val="none" w:sz="0" w:space="0" w:color="auto"/>
            <w:right w:val="none" w:sz="0" w:space="0" w:color="auto"/>
          </w:divBdr>
        </w:div>
        <w:div w:id="935943790">
          <w:marLeft w:val="734"/>
          <w:marRight w:val="0"/>
          <w:marTop w:val="115"/>
          <w:marBottom w:val="0"/>
          <w:divBdr>
            <w:top w:val="none" w:sz="0" w:space="0" w:color="auto"/>
            <w:left w:val="none" w:sz="0" w:space="0" w:color="auto"/>
            <w:bottom w:val="none" w:sz="0" w:space="0" w:color="auto"/>
            <w:right w:val="none" w:sz="0" w:space="0" w:color="auto"/>
          </w:divBdr>
        </w:div>
        <w:div w:id="942155824">
          <w:marLeft w:val="1426"/>
          <w:marRight w:val="0"/>
          <w:marTop w:val="96"/>
          <w:marBottom w:val="0"/>
          <w:divBdr>
            <w:top w:val="none" w:sz="0" w:space="0" w:color="auto"/>
            <w:left w:val="none" w:sz="0" w:space="0" w:color="auto"/>
            <w:bottom w:val="none" w:sz="0" w:space="0" w:color="auto"/>
            <w:right w:val="none" w:sz="0" w:space="0" w:color="auto"/>
          </w:divBdr>
        </w:div>
        <w:div w:id="947276643">
          <w:marLeft w:val="734"/>
          <w:marRight w:val="0"/>
          <w:marTop w:val="134"/>
          <w:marBottom w:val="0"/>
          <w:divBdr>
            <w:top w:val="none" w:sz="0" w:space="0" w:color="auto"/>
            <w:left w:val="none" w:sz="0" w:space="0" w:color="auto"/>
            <w:bottom w:val="none" w:sz="0" w:space="0" w:color="auto"/>
            <w:right w:val="none" w:sz="0" w:space="0" w:color="auto"/>
          </w:divBdr>
        </w:div>
        <w:div w:id="950743970">
          <w:marLeft w:val="734"/>
          <w:marRight w:val="0"/>
          <w:marTop w:val="96"/>
          <w:marBottom w:val="0"/>
          <w:divBdr>
            <w:top w:val="none" w:sz="0" w:space="0" w:color="auto"/>
            <w:left w:val="none" w:sz="0" w:space="0" w:color="auto"/>
            <w:bottom w:val="none" w:sz="0" w:space="0" w:color="auto"/>
            <w:right w:val="none" w:sz="0" w:space="0" w:color="auto"/>
          </w:divBdr>
        </w:div>
        <w:div w:id="956526330">
          <w:marLeft w:val="734"/>
          <w:marRight w:val="0"/>
          <w:marTop w:val="115"/>
          <w:marBottom w:val="0"/>
          <w:divBdr>
            <w:top w:val="none" w:sz="0" w:space="0" w:color="auto"/>
            <w:left w:val="none" w:sz="0" w:space="0" w:color="auto"/>
            <w:bottom w:val="none" w:sz="0" w:space="0" w:color="auto"/>
            <w:right w:val="none" w:sz="0" w:space="0" w:color="auto"/>
          </w:divBdr>
        </w:div>
        <w:div w:id="959845994">
          <w:marLeft w:val="1426"/>
          <w:marRight w:val="0"/>
          <w:marTop w:val="96"/>
          <w:marBottom w:val="0"/>
          <w:divBdr>
            <w:top w:val="none" w:sz="0" w:space="0" w:color="auto"/>
            <w:left w:val="none" w:sz="0" w:space="0" w:color="auto"/>
            <w:bottom w:val="none" w:sz="0" w:space="0" w:color="auto"/>
            <w:right w:val="none" w:sz="0" w:space="0" w:color="auto"/>
          </w:divBdr>
        </w:div>
        <w:div w:id="961811641">
          <w:marLeft w:val="734"/>
          <w:marRight w:val="0"/>
          <w:marTop w:val="115"/>
          <w:marBottom w:val="0"/>
          <w:divBdr>
            <w:top w:val="none" w:sz="0" w:space="0" w:color="auto"/>
            <w:left w:val="none" w:sz="0" w:space="0" w:color="auto"/>
            <w:bottom w:val="none" w:sz="0" w:space="0" w:color="auto"/>
            <w:right w:val="none" w:sz="0" w:space="0" w:color="auto"/>
          </w:divBdr>
        </w:div>
        <w:div w:id="970086985">
          <w:marLeft w:val="734"/>
          <w:marRight w:val="0"/>
          <w:marTop w:val="115"/>
          <w:marBottom w:val="0"/>
          <w:divBdr>
            <w:top w:val="none" w:sz="0" w:space="0" w:color="auto"/>
            <w:left w:val="none" w:sz="0" w:space="0" w:color="auto"/>
            <w:bottom w:val="none" w:sz="0" w:space="0" w:color="auto"/>
            <w:right w:val="none" w:sz="0" w:space="0" w:color="auto"/>
          </w:divBdr>
        </w:div>
        <w:div w:id="970137037">
          <w:marLeft w:val="1426"/>
          <w:marRight w:val="0"/>
          <w:marTop w:val="96"/>
          <w:marBottom w:val="0"/>
          <w:divBdr>
            <w:top w:val="none" w:sz="0" w:space="0" w:color="auto"/>
            <w:left w:val="none" w:sz="0" w:space="0" w:color="auto"/>
            <w:bottom w:val="none" w:sz="0" w:space="0" w:color="auto"/>
            <w:right w:val="none" w:sz="0" w:space="0" w:color="auto"/>
          </w:divBdr>
        </w:div>
        <w:div w:id="976106712">
          <w:marLeft w:val="734"/>
          <w:marRight w:val="0"/>
          <w:marTop w:val="115"/>
          <w:marBottom w:val="0"/>
          <w:divBdr>
            <w:top w:val="none" w:sz="0" w:space="0" w:color="auto"/>
            <w:left w:val="none" w:sz="0" w:space="0" w:color="auto"/>
            <w:bottom w:val="none" w:sz="0" w:space="0" w:color="auto"/>
            <w:right w:val="none" w:sz="0" w:space="0" w:color="auto"/>
          </w:divBdr>
        </w:div>
        <w:div w:id="983000203">
          <w:marLeft w:val="1426"/>
          <w:marRight w:val="0"/>
          <w:marTop w:val="96"/>
          <w:marBottom w:val="0"/>
          <w:divBdr>
            <w:top w:val="none" w:sz="0" w:space="0" w:color="auto"/>
            <w:left w:val="none" w:sz="0" w:space="0" w:color="auto"/>
            <w:bottom w:val="none" w:sz="0" w:space="0" w:color="auto"/>
            <w:right w:val="none" w:sz="0" w:space="0" w:color="auto"/>
          </w:divBdr>
        </w:div>
        <w:div w:id="988825861">
          <w:marLeft w:val="734"/>
          <w:marRight w:val="0"/>
          <w:marTop w:val="115"/>
          <w:marBottom w:val="0"/>
          <w:divBdr>
            <w:top w:val="none" w:sz="0" w:space="0" w:color="auto"/>
            <w:left w:val="none" w:sz="0" w:space="0" w:color="auto"/>
            <w:bottom w:val="none" w:sz="0" w:space="0" w:color="auto"/>
            <w:right w:val="none" w:sz="0" w:space="0" w:color="auto"/>
          </w:divBdr>
        </w:div>
        <w:div w:id="990407507">
          <w:marLeft w:val="734"/>
          <w:marRight w:val="0"/>
          <w:marTop w:val="115"/>
          <w:marBottom w:val="0"/>
          <w:divBdr>
            <w:top w:val="none" w:sz="0" w:space="0" w:color="auto"/>
            <w:left w:val="none" w:sz="0" w:space="0" w:color="auto"/>
            <w:bottom w:val="none" w:sz="0" w:space="0" w:color="auto"/>
            <w:right w:val="none" w:sz="0" w:space="0" w:color="auto"/>
          </w:divBdr>
        </w:div>
        <w:div w:id="998654391">
          <w:marLeft w:val="734"/>
          <w:marRight w:val="0"/>
          <w:marTop w:val="115"/>
          <w:marBottom w:val="0"/>
          <w:divBdr>
            <w:top w:val="none" w:sz="0" w:space="0" w:color="auto"/>
            <w:left w:val="none" w:sz="0" w:space="0" w:color="auto"/>
            <w:bottom w:val="none" w:sz="0" w:space="0" w:color="auto"/>
            <w:right w:val="none" w:sz="0" w:space="0" w:color="auto"/>
          </w:divBdr>
        </w:div>
        <w:div w:id="1004868172">
          <w:marLeft w:val="734"/>
          <w:marRight w:val="0"/>
          <w:marTop w:val="115"/>
          <w:marBottom w:val="0"/>
          <w:divBdr>
            <w:top w:val="none" w:sz="0" w:space="0" w:color="auto"/>
            <w:left w:val="none" w:sz="0" w:space="0" w:color="auto"/>
            <w:bottom w:val="none" w:sz="0" w:space="0" w:color="auto"/>
            <w:right w:val="none" w:sz="0" w:space="0" w:color="auto"/>
          </w:divBdr>
        </w:div>
        <w:div w:id="1006371275">
          <w:marLeft w:val="734"/>
          <w:marRight w:val="0"/>
          <w:marTop w:val="211"/>
          <w:marBottom w:val="0"/>
          <w:divBdr>
            <w:top w:val="none" w:sz="0" w:space="0" w:color="auto"/>
            <w:left w:val="none" w:sz="0" w:space="0" w:color="auto"/>
            <w:bottom w:val="none" w:sz="0" w:space="0" w:color="auto"/>
            <w:right w:val="none" w:sz="0" w:space="0" w:color="auto"/>
          </w:divBdr>
        </w:div>
        <w:div w:id="1019086413">
          <w:marLeft w:val="1426"/>
          <w:marRight w:val="0"/>
          <w:marTop w:val="77"/>
          <w:marBottom w:val="0"/>
          <w:divBdr>
            <w:top w:val="none" w:sz="0" w:space="0" w:color="auto"/>
            <w:left w:val="none" w:sz="0" w:space="0" w:color="auto"/>
            <w:bottom w:val="none" w:sz="0" w:space="0" w:color="auto"/>
            <w:right w:val="none" w:sz="0" w:space="0" w:color="auto"/>
          </w:divBdr>
        </w:div>
        <w:div w:id="1029643714">
          <w:marLeft w:val="734"/>
          <w:marRight w:val="0"/>
          <w:marTop w:val="115"/>
          <w:marBottom w:val="0"/>
          <w:divBdr>
            <w:top w:val="none" w:sz="0" w:space="0" w:color="auto"/>
            <w:left w:val="none" w:sz="0" w:space="0" w:color="auto"/>
            <w:bottom w:val="none" w:sz="0" w:space="0" w:color="auto"/>
            <w:right w:val="none" w:sz="0" w:space="0" w:color="auto"/>
          </w:divBdr>
        </w:div>
        <w:div w:id="1036198099">
          <w:marLeft w:val="734"/>
          <w:marRight w:val="0"/>
          <w:marTop w:val="115"/>
          <w:marBottom w:val="0"/>
          <w:divBdr>
            <w:top w:val="none" w:sz="0" w:space="0" w:color="auto"/>
            <w:left w:val="none" w:sz="0" w:space="0" w:color="auto"/>
            <w:bottom w:val="none" w:sz="0" w:space="0" w:color="auto"/>
            <w:right w:val="none" w:sz="0" w:space="0" w:color="auto"/>
          </w:divBdr>
        </w:div>
        <w:div w:id="1039208235">
          <w:marLeft w:val="1426"/>
          <w:marRight w:val="0"/>
          <w:marTop w:val="96"/>
          <w:marBottom w:val="0"/>
          <w:divBdr>
            <w:top w:val="none" w:sz="0" w:space="0" w:color="auto"/>
            <w:left w:val="none" w:sz="0" w:space="0" w:color="auto"/>
            <w:bottom w:val="none" w:sz="0" w:space="0" w:color="auto"/>
            <w:right w:val="none" w:sz="0" w:space="0" w:color="auto"/>
          </w:divBdr>
        </w:div>
        <w:div w:id="1041788928">
          <w:marLeft w:val="734"/>
          <w:marRight w:val="0"/>
          <w:marTop w:val="115"/>
          <w:marBottom w:val="0"/>
          <w:divBdr>
            <w:top w:val="none" w:sz="0" w:space="0" w:color="auto"/>
            <w:left w:val="none" w:sz="0" w:space="0" w:color="auto"/>
            <w:bottom w:val="none" w:sz="0" w:space="0" w:color="auto"/>
            <w:right w:val="none" w:sz="0" w:space="0" w:color="auto"/>
          </w:divBdr>
        </w:div>
        <w:div w:id="1044401810">
          <w:marLeft w:val="734"/>
          <w:marRight w:val="0"/>
          <w:marTop w:val="115"/>
          <w:marBottom w:val="0"/>
          <w:divBdr>
            <w:top w:val="none" w:sz="0" w:space="0" w:color="auto"/>
            <w:left w:val="none" w:sz="0" w:space="0" w:color="auto"/>
            <w:bottom w:val="none" w:sz="0" w:space="0" w:color="auto"/>
            <w:right w:val="none" w:sz="0" w:space="0" w:color="auto"/>
          </w:divBdr>
        </w:div>
        <w:div w:id="1051609785">
          <w:marLeft w:val="1426"/>
          <w:marRight w:val="0"/>
          <w:marTop w:val="96"/>
          <w:marBottom w:val="0"/>
          <w:divBdr>
            <w:top w:val="none" w:sz="0" w:space="0" w:color="auto"/>
            <w:left w:val="none" w:sz="0" w:space="0" w:color="auto"/>
            <w:bottom w:val="none" w:sz="0" w:space="0" w:color="auto"/>
            <w:right w:val="none" w:sz="0" w:space="0" w:color="auto"/>
          </w:divBdr>
        </w:div>
        <w:div w:id="1062101247">
          <w:marLeft w:val="734"/>
          <w:marRight w:val="0"/>
          <w:marTop w:val="115"/>
          <w:marBottom w:val="0"/>
          <w:divBdr>
            <w:top w:val="none" w:sz="0" w:space="0" w:color="auto"/>
            <w:left w:val="none" w:sz="0" w:space="0" w:color="auto"/>
            <w:bottom w:val="none" w:sz="0" w:space="0" w:color="auto"/>
            <w:right w:val="none" w:sz="0" w:space="0" w:color="auto"/>
          </w:divBdr>
        </w:div>
        <w:div w:id="1066686445">
          <w:marLeft w:val="734"/>
          <w:marRight w:val="0"/>
          <w:marTop w:val="115"/>
          <w:marBottom w:val="0"/>
          <w:divBdr>
            <w:top w:val="none" w:sz="0" w:space="0" w:color="auto"/>
            <w:left w:val="none" w:sz="0" w:space="0" w:color="auto"/>
            <w:bottom w:val="none" w:sz="0" w:space="0" w:color="auto"/>
            <w:right w:val="none" w:sz="0" w:space="0" w:color="auto"/>
          </w:divBdr>
        </w:div>
        <w:div w:id="1072772534">
          <w:marLeft w:val="1426"/>
          <w:marRight w:val="0"/>
          <w:marTop w:val="96"/>
          <w:marBottom w:val="0"/>
          <w:divBdr>
            <w:top w:val="none" w:sz="0" w:space="0" w:color="auto"/>
            <w:left w:val="none" w:sz="0" w:space="0" w:color="auto"/>
            <w:bottom w:val="none" w:sz="0" w:space="0" w:color="auto"/>
            <w:right w:val="none" w:sz="0" w:space="0" w:color="auto"/>
          </w:divBdr>
        </w:div>
        <w:div w:id="1079642334">
          <w:marLeft w:val="734"/>
          <w:marRight w:val="0"/>
          <w:marTop w:val="115"/>
          <w:marBottom w:val="0"/>
          <w:divBdr>
            <w:top w:val="none" w:sz="0" w:space="0" w:color="auto"/>
            <w:left w:val="none" w:sz="0" w:space="0" w:color="auto"/>
            <w:bottom w:val="none" w:sz="0" w:space="0" w:color="auto"/>
            <w:right w:val="none" w:sz="0" w:space="0" w:color="auto"/>
          </w:divBdr>
        </w:div>
        <w:div w:id="1082339485">
          <w:marLeft w:val="1426"/>
          <w:marRight w:val="0"/>
          <w:marTop w:val="96"/>
          <w:marBottom w:val="0"/>
          <w:divBdr>
            <w:top w:val="none" w:sz="0" w:space="0" w:color="auto"/>
            <w:left w:val="none" w:sz="0" w:space="0" w:color="auto"/>
            <w:bottom w:val="none" w:sz="0" w:space="0" w:color="auto"/>
            <w:right w:val="none" w:sz="0" w:space="0" w:color="auto"/>
          </w:divBdr>
        </w:div>
        <w:div w:id="1094936966">
          <w:marLeft w:val="1426"/>
          <w:marRight w:val="0"/>
          <w:marTop w:val="96"/>
          <w:marBottom w:val="0"/>
          <w:divBdr>
            <w:top w:val="none" w:sz="0" w:space="0" w:color="auto"/>
            <w:left w:val="none" w:sz="0" w:space="0" w:color="auto"/>
            <w:bottom w:val="none" w:sz="0" w:space="0" w:color="auto"/>
            <w:right w:val="none" w:sz="0" w:space="0" w:color="auto"/>
          </w:divBdr>
        </w:div>
        <w:div w:id="1123812873">
          <w:marLeft w:val="734"/>
          <w:marRight w:val="0"/>
          <w:marTop w:val="115"/>
          <w:marBottom w:val="0"/>
          <w:divBdr>
            <w:top w:val="none" w:sz="0" w:space="0" w:color="auto"/>
            <w:left w:val="none" w:sz="0" w:space="0" w:color="auto"/>
            <w:bottom w:val="none" w:sz="0" w:space="0" w:color="auto"/>
            <w:right w:val="none" w:sz="0" w:space="0" w:color="auto"/>
          </w:divBdr>
        </w:div>
        <w:div w:id="1130633383">
          <w:marLeft w:val="734"/>
          <w:marRight w:val="0"/>
          <w:marTop w:val="134"/>
          <w:marBottom w:val="0"/>
          <w:divBdr>
            <w:top w:val="none" w:sz="0" w:space="0" w:color="auto"/>
            <w:left w:val="none" w:sz="0" w:space="0" w:color="auto"/>
            <w:bottom w:val="none" w:sz="0" w:space="0" w:color="auto"/>
            <w:right w:val="none" w:sz="0" w:space="0" w:color="auto"/>
          </w:divBdr>
        </w:div>
        <w:div w:id="1140149701">
          <w:marLeft w:val="1426"/>
          <w:marRight w:val="0"/>
          <w:marTop w:val="96"/>
          <w:marBottom w:val="0"/>
          <w:divBdr>
            <w:top w:val="none" w:sz="0" w:space="0" w:color="auto"/>
            <w:left w:val="none" w:sz="0" w:space="0" w:color="auto"/>
            <w:bottom w:val="none" w:sz="0" w:space="0" w:color="auto"/>
            <w:right w:val="none" w:sz="0" w:space="0" w:color="auto"/>
          </w:divBdr>
        </w:div>
        <w:div w:id="1151747445">
          <w:marLeft w:val="1426"/>
          <w:marRight w:val="0"/>
          <w:marTop w:val="96"/>
          <w:marBottom w:val="0"/>
          <w:divBdr>
            <w:top w:val="none" w:sz="0" w:space="0" w:color="auto"/>
            <w:left w:val="none" w:sz="0" w:space="0" w:color="auto"/>
            <w:bottom w:val="none" w:sz="0" w:space="0" w:color="auto"/>
            <w:right w:val="none" w:sz="0" w:space="0" w:color="auto"/>
          </w:divBdr>
        </w:div>
        <w:div w:id="1152260671">
          <w:marLeft w:val="734"/>
          <w:marRight w:val="0"/>
          <w:marTop w:val="115"/>
          <w:marBottom w:val="0"/>
          <w:divBdr>
            <w:top w:val="none" w:sz="0" w:space="0" w:color="auto"/>
            <w:left w:val="none" w:sz="0" w:space="0" w:color="auto"/>
            <w:bottom w:val="none" w:sz="0" w:space="0" w:color="auto"/>
            <w:right w:val="none" w:sz="0" w:space="0" w:color="auto"/>
          </w:divBdr>
        </w:div>
        <w:div w:id="1166364429">
          <w:marLeft w:val="734"/>
          <w:marRight w:val="0"/>
          <w:marTop w:val="144"/>
          <w:marBottom w:val="0"/>
          <w:divBdr>
            <w:top w:val="none" w:sz="0" w:space="0" w:color="auto"/>
            <w:left w:val="none" w:sz="0" w:space="0" w:color="auto"/>
            <w:bottom w:val="none" w:sz="0" w:space="0" w:color="auto"/>
            <w:right w:val="none" w:sz="0" w:space="0" w:color="auto"/>
          </w:divBdr>
        </w:div>
        <w:div w:id="1171989017">
          <w:marLeft w:val="734"/>
          <w:marRight w:val="0"/>
          <w:marTop w:val="144"/>
          <w:marBottom w:val="0"/>
          <w:divBdr>
            <w:top w:val="none" w:sz="0" w:space="0" w:color="auto"/>
            <w:left w:val="none" w:sz="0" w:space="0" w:color="auto"/>
            <w:bottom w:val="none" w:sz="0" w:space="0" w:color="auto"/>
            <w:right w:val="none" w:sz="0" w:space="0" w:color="auto"/>
          </w:divBdr>
        </w:div>
        <w:div w:id="1173956502">
          <w:marLeft w:val="734"/>
          <w:marRight w:val="0"/>
          <w:marTop w:val="134"/>
          <w:marBottom w:val="0"/>
          <w:divBdr>
            <w:top w:val="none" w:sz="0" w:space="0" w:color="auto"/>
            <w:left w:val="none" w:sz="0" w:space="0" w:color="auto"/>
            <w:bottom w:val="none" w:sz="0" w:space="0" w:color="auto"/>
            <w:right w:val="none" w:sz="0" w:space="0" w:color="auto"/>
          </w:divBdr>
        </w:div>
        <w:div w:id="1183204923">
          <w:marLeft w:val="1426"/>
          <w:marRight w:val="0"/>
          <w:marTop w:val="96"/>
          <w:marBottom w:val="0"/>
          <w:divBdr>
            <w:top w:val="none" w:sz="0" w:space="0" w:color="auto"/>
            <w:left w:val="none" w:sz="0" w:space="0" w:color="auto"/>
            <w:bottom w:val="none" w:sz="0" w:space="0" w:color="auto"/>
            <w:right w:val="none" w:sz="0" w:space="0" w:color="auto"/>
          </w:divBdr>
        </w:div>
        <w:div w:id="1198271472">
          <w:marLeft w:val="734"/>
          <w:marRight w:val="0"/>
          <w:marTop w:val="115"/>
          <w:marBottom w:val="0"/>
          <w:divBdr>
            <w:top w:val="none" w:sz="0" w:space="0" w:color="auto"/>
            <w:left w:val="none" w:sz="0" w:space="0" w:color="auto"/>
            <w:bottom w:val="none" w:sz="0" w:space="0" w:color="auto"/>
            <w:right w:val="none" w:sz="0" w:space="0" w:color="auto"/>
          </w:divBdr>
        </w:div>
        <w:div w:id="1200777505">
          <w:marLeft w:val="734"/>
          <w:marRight w:val="0"/>
          <w:marTop w:val="115"/>
          <w:marBottom w:val="0"/>
          <w:divBdr>
            <w:top w:val="none" w:sz="0" w:space="0" w:color="auto"/>
            <w:left w:val="none" w:sz="0" w:space="0" w:color="auto"/>
            <w:bottom w:val="none" w:sz="0" w:space="0" w:color="auto"/>
            <w:right w:val="none" w:sz="0" w:space="0" w:color="auto"/>
          </w:divBdr>
        </w:div>
        <w:div w:id="1212688880">
          <w:marLeft w:val="734"/>
          <w:marRight w:val="0"/>
          <w:marTop w:val="115"/>
          <w:marBottom w:val="0"/>
          <w:divBdr>
            <w:top w:val="none" w:sz="0" w:space="0" w:color="auto"/>
            <w:left w:val="none" w:sz="0" w:space="0" w:color="auto"/>
            <w:bottom w:val="none" w:sz="0" w:space="0" w:color="auto"/>
            <w:right w:val="none" w:sz="0" w:space="0" w:color="auto"/>
          </w:divBdr>
        </w:div>
        <w:div w:id="1222522699">
          <w:marLeft w:val="734"/>
          <w:marRight w:val="0"/>
          <w:marTop w:val="154"/>
          <w:marBottom w:val="0"/>
          <w:divBdr>
            <w:top w:val="none" w:sz="0" w:space="0" w:color="auto"/>
            <w:left w:val="none" w:sz="0" w:space="0" w:color="auto"/>
            <w:bottom w:val="none" w:sz="0" w:space="0" w:color="auto"/>
            <w:right w:val="none" w:sz="0" w:space="0" w:color="auto"/>
          </w:divBdr>
        </w:div>
        <w:div w:id="1279144604">
          <w:marLeft w:val="734"/>
          <w:marRight w:val="0"/>
          <w:marTop w:val="96"/>
          <w:marBottom w:val="0"/>
          <w:divBdr>
            <w:top w:val="none" w:sz="0" w:space="0" w:color="auto"/>
            <w:left w:val="none" w:sz="0" w:space="0" w:color="auto"/>
            <w:bottom w:val="none" w:sz="0" w:space="0" w:color="auto"/>
            <w:right w:val="none" w:sz="0" w:space="0" w:color="auto"/>
          </w:divBdr>
        </w:div>
        <w:div w:id="1285775534">
          <w:marLeft w:val="734"/>
          <w:marRight w:val="0"/>
          <w:marTop w:val="115"/>
          <w:marBottom w:val="0"/>
          <w:divBdr>
            <w:top w:val="none" w:sz="0" w:space="0" w:color="auto"/>
            <w:left w:val="none" w:sz="0" w:space="0" w:color="auto"/>
            <w:bottom w:val="none" w:sz="0" w:space="0" w:color="auto"/>
            <w:right w:val="none" w:sz="0" w:space="0" w:color="auto"/>
          </w:divBdr>
        </w:div>
        <w:div w:id="1302228733">
          <w:marLeft w:val="1426"/>
          <w:marRight w:val="0"/>
          <w:marTop w:val="86"/>
          <w:marBottom w:val="0"/>
          <w:divBdr>
            <w:top w:val="none" w:sz="0" w:space="0" w:color="auto"/>
            <w:left w:val="none" w:sz="0" w:space="0" w:color="auto"/>
            <w:bottom w:val="none" w:sz="0" w:space="0" w:color="auto"/>
            <w:right w:val="none" w:sz="0" w:space="0" w:color="auto"/>
          </w:divBdr>
        </w:div>
        <w:div w:id="1305087820">
          <w:marLeft w:val="734"/>
          <w:marRight w:val="0"/>
          <w:marTop w:val="115"/>
          <w:marBottom w:val="0"/>
          <w:divBdr>
            <w:top w:val="none" w:sz="0" w:space="0" w:color="auto"/>
            <w:left w:val="none" w:sz="0" w:space="0" w:color="auto"/>
            <w:bottom w:val="none" w:sz="0" w:space="0" w:color="auto"/>
            <w:right w:val="none" w:sz="0" w:space="0" w:color="auto"/>
          </w:divBdr>
        </w:div>
        <w:div w:id="1308827570">
          <w:marLeft w:val="1426"/>
          <w:marRight w:val="0"/>
          <w:marTop w:val="96"/>
          <w:marBottom w:val="0"/>
          <w:divBdr>
            <w:top w:val="none" w:sz="0" w:space="0" w:color="auto"/>
            <w:left w:val="none" w:sz="0" w:space="0" w:color="auto"/>
            <w:bottom w:val="none" w:sz="0" w:space="0" w:color="auto"/>
            <w:right w:val="none" w:sz="0" w:space="0" w:color="auto"/>
          </w:divBdr>
        </w:div>
        <w:div w:id="1309090256">
          <w:marLeft w:val="734"/>
          <w:marRight w:val="0"/>
          <w:marTop w:val="115"/>
          <w:marBottom w:val="0"/>
          <w:divBdr>
            <w:top w:val="none" w:sz="0" w:space="0" w:color="auto"/>
            <w:left w:val="none" w:sz="0" w:space="0" w:color="auto"/>
            <w:bottom w:val="none" w:sz="0" w:space="0" w:color="auto"/>
            <w:right w:val="none" w:sz="0" w:space="0" w:color="auto"/>
          </w:divBdr>
        </w:div>
        <w:div w:id="1309826083">
          <w:marLeft w:val="734"/>
          <w:marRight w:val="0"/>
          <w:marTop w:val="192"/>
          <w:marBottom w:val="0"/>
          <w:divBdr>
            <w:top w:val="none" w:sz="0" w:space="0" w:color="auto"/>
            <w:left w:val="none" w:sz="0" w:space="0" w:color="auto"/>
            <w:bottom w:val="none" w:sz="0" w:space="0" w:color="auto"/>
            <w:right w:val="none" w:sz="0" w:space="0" w:color="auto"/>
          </w:divBdr>
        </w:div>
        <w:div w:id="1310788710">
          <w:marLeft w:val="734"/>
          <w:marRight w:val="0"/>
          <w:marTop w:val="115"/>
          <w:marBottom w:val="0"/>
          <w:divBdr>
            <w:top w:val="none" w:sz="0" w:space="0" w:color="auto"/>
            <w:left w:val="none" w:sz="0" w:space="0" w:color="auto"/>
            <w:bottom w:val="none" w:sz="0" w:space="0" w:color="auto"/>
            <w:right w:val="none" w:sz="0" w:space="0" w:color="auto"/>
          </w:divBdr>
        </w:div>
        <w:div w:id="1311910953">
          <w:marLeft w:val="734"/>
          <w:marRight w:val="0"/>
          <w:marTop w:val="154"/>
          <w:marBottom w:val="0"/>
          <w:divBdr>
            <w:top w:val="none" w:sz="0" w:space="0" w:color="auto"/>
            <w:left w:val="none" w:sz="0" w:space="0" w:color="auto"/>
            <w:bottom w:val="none" w:sz="0" w:space="0" w:color="auto"/>
            <w:right w:val="none" w:sz="0" w:space="0" w:color="auto"/>
          </w:divBdr>
        </w:div>
        <w:div w:id="1315140317">
          <w:marLeft w:val="734"/>
          <w:marRight w:val="0"/>
          <w:marTop w:val="115"/>
          <w:marBottom w:val="0"/>
          <w:divBdr>
            <w:top w:val="none" w:sz="0" w:space="0" w:color="auto"/>
            <w:left w:val="none" w:sz="0" w:space="0" w:color="auto"/>
            <w:bottom w:val="none" w:sz="0" w:space="0" w:color="auto"/>
            <w:right w:val="none" w:sz="0" w:space="0" w:color="auto"/>
          </w:divBdr>
        </w:div>
        <w:div w:id="1319529502">
          <w:marLeft w:val="1426"/>
          <w:marRight w:val="0"/>
          <w:marTop w:val="96"/>
          <w:marBottom w:val="0"/>
          <w:divBdr>
            <w:top w:val="none" w:sz="0" w:space="0" w:color="auto"/>
            <w:left w:val="none" w:sz="0" w:space="0" w:color="auto"/>
            <w:bottom w:val="none" w:sz="0" w:space="0" w:color="auto"/>
            <w:right w:val="none" w:sz="0" w:space="0" w:color="auto"/>
          </w:divBdr>
        </w:div>
        <w:div w:id="1320884226">
          <w:marLeft w:val="734"/>
          <w:marRight w:val="0"/>
          <w:marTop w:val="96"/>
          <w:marBottom w:val="0"/>
          <w:divBdr>
            <w:top w:val="none" w:sz="0" w:space="0" w:color="auto"/>
            <w:left w:val="none" w:sz="0" w:space="0" w:color="auto"/>
            <w:bottom w:val="none" w:sz="0" w:space="0" w:color="auto"/>
            <w:right w:val="none" w:sz="0" w:space="0" w:color="auto"/>
          </w:divBdr>
        </w:div>
        <w:div w:id="1329483963">
          <w:marLeft w:val="1426"/>
          <w:marRight w:val="0"/>
          <w:marTop w:val="96"/>
          <w:marBottom w:val="0"/>
          <w:divBdr>
            <w:top w:val="none" w:sz="0" w:space="0" w:color="auto"/>
            <w:left w:val="none" w:sz="0" w:space="0" w:color="auto"/>
            <w:bottom w:val="none" w:sz="0" w:space="0" w:color="auto"/>
            <w:right w:val="none" w:sz="0" w:space="0" w:color="auto"/>
          </w:divBdr>
        </w:div>
        <w:div w:id="1342590441">
          <w:marLeft w:val="734"/>
          <w:marRight w:val="0"/>
          <w:marTop w:val="115"/>
          <w:marBottom w:val="0"/>
          <w:divBdr>
            <w:top w:val="none" w:sz="0" w:space="0" w:color="auto"/>
            <w:left w:val="none" w:sz="0" w:space="0" w:color="auto"/>
            <w:bottom w:val="none" w:sz="0" w:space="0" w:color="auto"/>
            <w:right w:val="none" w:sz="0" w:space="0" w:color="auto"/>
          </w:divBdr>
        </w:div>
        <w:div w:id="1343435906">
          <w:marLeft w:val="734"/>
          <w:marRight w:val="0"/>
          <w:marTop w:val="154"/>
          <w:marBottom w:val="0"/>
          <w:divBdr>
            <w:top w:val="none" w:sz="0" w:space="0" w:color="auto"/>
            <w:left w:val="none" w:sz="0" w:space="0" w:color="auto"/>
            <w:bottom w:val="none" w:sz="0" w:space="0" w:color="auto"/>
            <w:right w:val="none" w:sz="0" w:space="0" w:color="auto"/>
          </w:divBdr>
        </w:div>
        <w:div w:id="1348949850">
          <w:marLeft w:val="734"/>
          <w:marRight w:val="0"/>
          <w:marTop w:val="86"/>
          <w:marBottom w:val="0"/>
          <w:divBdr>
            <w:top w:val="none" w:sz="0" w:space="0" w:color="auto"/>
            <w:left w:val="none" w:sz="0" w:space="0" w:color="auto"/>
            <w:bottom w:val="none" w:sz="0" w:space="0" w:color="auto"/>
            <w:right w:val="none" w:sz="0" w:space="0" w:color="auto"/>
          </w:divBdr>
        </w:div>
        <w:div w:id="1354719941">
          <w:marLeft w:val="1426"/>
          <w:marRight w:val="0"/>
          <w:marTop w:val="96"/>
          <w:marBottom w:val="0"/>
          <w:divBdr>
            <w:top w:val="none" w:sz="0" w:space="0" w:color="auto"/>
            <w:left w:val="none" w:sz="0" w:space="0" w:color="auto"/>
            <w:bottom w:val="none" w:sz="0" w:space="0" w:color="auto"/>
            <w:right w:val="none" w:sz="0" w:space="0" w:color="auto"/>
          </w:divBdr>
        </w:div>
        <w:div w:id="1355576479">
          <w:marLeft w:val="1426"/>
          <w:marRight w:val="0"/>
          <w:marTop w:val="96"/>
          <w:marBottom w:val="0"/>
          <w:divBdr>
            <w:top w:val="none" w:sz="0" w:space="0" w:color="auto"/>
            <w:left w:val="none" w:sz="0" w:space="0" w:color="auto"/>
            <w:bottom w:val="none" w:sz="0" w:space="0" w:color="auto"/>
            <w:right w:val="none" w:sz="0" w:space="0" w:color="auto"/>
          </w:divBdr>
        </w:div>
        <w:div w:id="1366519492">
          <w:marLeft w:val="1426"/>
          <w:marRight w:val="0"/>
          <w:marTop w:val="96"/>
          <w:marBottom w:val="0"/>
          <w:divBdr>
            <w:top w:val="none" w:sz="0" w:space="0" w:color="auto"/>
            <w:left w:val="none" w:sz="0" w:space="0" w:color="auto"/>
            <w:bottom w:val="none" w:sz="0" w:space="0" w:color="auto"/>
            <w:right w:val="none" w:sz="0" w:space="0" w:color="auto"/>
          </w:divBdr>
        </w:div>
        <w:div w:id="1369379963">
          <w:marLeft w:val="1426"/>
          <w:marRight w:val="0"/>
          <w:marTop w:val="96"/>
          <w:marBottom w:val="0"/>
          <w:divBdr>
            <w:top w:val="none" w:sz="0" w:space="0" w:color="auto"/>
            <w:left w:val="none" w:sz="0" w:space="0" w:color="auto"/>
            <w:bottom w:val="none" w:sz="0" w:space="0" w:color="auto"/>
            <w:right w:val="none" w:sz="0" w:space="0" w:color="auto"/>
          </w:divBdr>
        </w:div>
        <w:div w:id="1371489385">
          <w:marLeft w:val="734"/>
          <w:marRight w:val="0"/>
          <w:marTop w:val="154"/>
          <w:marBottom w:val="0"/>
          <w:divBdr>
            <w:top w:val="none" w:sz="0" w:space="0" w:color="auto"/>
            <w:left w:val="none" w:sz="0" w:space="0" w:color="auto"/>
            <w:bottom w:val="none" w:sz="0" w:space="0" w:color="auto"/>
            <w:right w:val="none" w:sz="0" w:space="0" w:color="auto"/>
          </w:divBdr>
        </w:div>
        <w:div w:id="1384989961">
          <w:marLeft w:val="734"/>
          <w:marRight w:val="0"/>
          <w:marTop w:val="96"/>
          <w:marBottom w:val="0"/>
          <w:divBdr>
            <w:top w:val="none" w:sz="0" w:space="0" w:color="auto"/>
            <w:left w:val="none" w:sz="0" w:space="0" w:color="auto"/>
            <w:bottom w:val="none" w:sz="0" w:space="0" w:color="auto"/>
            <w:right w:val="none" w:sz="0" w:space="0" w:color="auto"/>
          </w:divBdr>
        </w:div>
        <w:div w:id="1386445909">
          <w:marLeft w:val="734"/>
          <w:marRight w:val="0"/>
          <w:marTop w:val="154"/>
          <w:marBottom w:val="0"/>
          <w:divBdr>
            <w:top w:val="none" w:sz="0" w:space="0" w:color="auto"/>
            <w:left w:val="none" w:sz="0" w:space="0" w:color="auto"/>
            <w:bottom w:val="none" w:sz="0" w:space="0" w:color="auto"/>
            <w:right w:val="none" w:sz="0" w:space="0" w:color="auto"/>
          </w:divBdr>
        </w:div>
        <w:div w:id="1406151069">
          <w:marLeft w:val="734"/>
          <w:marRight w:val="0"/>
          <w:marTop w:val="115"/>
          <w:marBottom w:val="0"/>
          <w:divBdr>
            <w:top w:val="none" w:sz="0" w:space="0" w:color="auto"/>
            <w:left w:val="none" w:sz="0" w:space="0" w:color="auto"/>
            <w:bottom w:val="none" w:sz="0" w:space="0" w:color="auto"/>
            <w:right w:val="none" w:sz="0" w:space="0" w:color="auto"/>
          </w:divBdr>
        </w:div>
        <w:div w:id="1406799331">
          <w:marLeft w:val="1426"/>
          <w:marRight w:val="0"/>
          <w:marTop w:val="96"/>
          <w:marBottom w:val="0"/>
          <w:divBdr>
            <w:top w:val="none" w:sz="0" w:space="0" w:color="auto"/>
            <w:left w:val="none" w:sz="0" w:space="0" w:color="auto"/>
            <w:bottom w:val="none" w:sz="0" w:space="0" w:color="auto"/>
            <w:right w:val="none" w:sz="0" w:space="0" w:color="auto"/>
          </w:divBdr>
        </w:div>
        <w:div w:id="1413745189">
          <w:marLeft w:val="1426"/>
          <w:marRight w:val="0"/>
          <w:marTop w:val="96"/>
          <w:marBottom w:val="0"/>
          <w:divBdr>
            <w:top w:val="none" w:sz="0" w:space="0" w:color="auto"/>
            <w:left w:val="none" w:sz="0" w:space="0" w:color="auto"/>
            <w:bottom w:val="none" w:sz="0" w:space="0" w:color="auto"/>
            <w:right w:val="none" w:sz="0" w:space="0" w:color="auto"/>
          </w:divBdr>
        </w:div>
        <w:div w:id="1418282696">
          <w:marLeft w:val="734"/>
          <w:marRight w:val="0"/>
          <w:marTop w:val="115"/>
          <w:marBottom w:val="0"/>
          <w:divBdr>
            <w:top w:val="none" w:sz="0" w:space="0" w:color="auto"/>
            <w:left w:val="none" w:sz="0" w:space="0" w:color="auto"/>
            <w:bottom w:val="none" w:sz="0" w:space="0" w:color="auto"/>
            <w:right w:val="none" w:sz="0" w:space="0" w:color="auto"/>
          </w:divBdr>
        </w:div>
        <w:div w:id="1426606356">
          <w:marLeft w:val="734"/>
          <w:marRight w:val="0"/>
          <w:marTop w:val="115"/>
          <w:marBottom w:val="0"/>
          <w:divBdr>
            <w:top w:val="none" w:sz="0" w:space="0" w:color="auto"/>
            <w:left w:val="none" w:sz="0" w:space="0" w:color="auto"/>
            <w:bottom w:val="none" w:sz="0" w:space="0" w:color="auto"/>
            <w:right w:val="none" w:sz="0" w:space="0" w:color="auto"/>
          </w:divBdr>
        </w:div>
        <w:div w:id="1428766300">
          <w:marLeft w:val="734"/>
          <w:marRight w:val="0"/>
          <w:marTop w:val="115"/>
          <w:marBottom w:val="0"/>
          <w:divBdr>
            <w:top w:val="none" w:sz="0" w:space="0" w:color="auto"/>
            <w:left w:val="none" w:sz="0" w:space="0" w:color="auto"/>
            <w:bottom w:val="none" w:sz="0" w:space="0" w:color="auto"/>
            <w:right w:val="none" w:sz="0" w:space="0" w:color="auto"/>
          </w:divBdr>
        </w:div>
        <w:div w:id="1430656097">
          <w:marLeft w:val="734"/>
          <w:marRight w:val="0"/>
          <w:marTop w:val="115"/>
          <w:marBottom w:val="0"/>
          <w:divBdr>
            <w:top w:val="none" w:sz="0" w:space="0" w:color="auto"/>
            <w:left w:val="none" w:sz="0" w:space="0" w:color="auto"/>
            <w:bottom w:val="none" w:sz="0" w:space="0" w:color="auto"/>
            <w:right w:val="none" w:sz="0" w:space="0" w:color="auto"/>
          </w:divBdr>
        </w:div>
        <w:div w:id="1431119233">
          <w:marLeft w:val="734"/>
          <w:marRight w:val="0"/>
          <w:marTop w:val="230"/>
          <w:marBottom w:val="0"/>
          <w:divBdr>
            <w:top w:val="none" w:sz="0" w:space="0" w:color="auto"/>
            <w:left w:val="none" w:sz="0" w:space="0" w:color="auto"/>
            <w:bottom w:val="none" w:sz="0" w:space="0" w:color="auto"/>
            <w:right w:val="none" w:sz="0" w:space="0" w:color="auto"/>
          </w:divBdr>
        </w:div>
        <w:div w:id="1434665021">
          <w:marLeft w:val="734"/>
          <w:marRight w:val="0"/>
          <w:marTop w:val="115"/>
          <w:marBottom w:val="0"/>
          <w:divBdr>
            <w:top w:val="none" w:sz="0" w:space="0" w:color="auto"/>
            <w:left w:val="none" w:sz="0" w:space="0" w:color="auto"/>
            <w:bottom w:val="none" w:sz="0" w:space="0" w:color="auto"/>
            <w:right w:val="none" w:sz="0" w:space="0" w:color="auto"/>
          </w:divBdr>
        </w:div>
        <w:div w:id="1445879421">
          <w:marLeft w:val="1426"/>
          <w:marRight w:val="0"/>
          <w:marTop w:val="96"/>
          <w:marBottom w:val="0"/>
          <w:divBdr>
            <w:top w:val="none" w:sz="0" w:space="0" w:color="auto"/>
            <w:left w:val="none" w:sz="0" w:space="0" w:color="auto"/>
            <w:bottom w:val="none" w:sz="0" w:space="0" w:color="auto"/>
            <w:right w:val="none" w:sz="0" w:space="0" w:color="auto"/>
          </w:divBdr>
        </w:div>
        <w:div w:id="1458832355">
          <w:marLeft w:val="734"/>
          <w:marRight w:val="0"/>
          <w:marTop w:val="115"/>
          <w:marBottom w:val="0"/>
          <w:divBdr>
            <w:top w:val="none" w:sz="0" w:space="0" w:color="auto"/>
            <w:left w:val="none" w:sz="0" w:space="0" w:color="auto"/>
            <w:bottom w:val="none" w:sz="0" w:space="0" w:color="auto"/>
            <w:right w:val="none" w:sz="0" w:space="0" w:color="auto"/>
          </w:divBdr>
        </w:div>
        <w:div w:id="1459251731">
          <w:marLeft w:val="734"/>
          <w:marRight w:val="0"/>
          <w:marTop w:val="154"/>
          <w:marBottom w:val="0"/>
          <w:divBdr>
            <w:top w:val="none" w:sz="0" w:space="0" w:color="auto"/>
            <w:left w:val="none" w:sz="0" w:space="0" w:color="auto"/>
            <w:bottom w:val="none" w:sz="0" w:space="0" w:color="auto"/>
            <w:right w:val="none" w:sz="0" w:space="0" w:color="auto"/>
          </w:divBdr>
        </w:div>
        <w:div w:id="1468087153">
          <w:marLeft w:val="1426"/>
          <w:marRight w:val="0"/>
          <w:marTop w:val="96"/>
          <w:marBottom w:val="0"/>
          <w:divBdr>
            <w:top w:val="none" w:sz="0" w:space="0" w:color="auto"/>
            <w:left w:val="none" w:sz="0" w:space="0" w:color="auto"/>
            <w:bottom w:val="none" w:sz="0" w:space="0" w:color="auto"/>
            <w:right w:val="none" w:sz="0" w:space="0" w:color="auto"/>
          </w:divBdr>
        </w:div>
        <w:div w:id="1470242043">
          <w:marLeft w:val="734"/>
          <w:marRight w:val="0"/>
          <w:marTop w:val="115"/>
          <w:marBottom w:val="0"/>
          <w:divBdr>
            <w:top w:val="none" w:sz="0" w:space="0" w:color="auto"/>
            <w:left w:val="none" w:sz="0" w:space="0" w:color="auto"/>
            <w:bottom w:val="none" w:sz="0" w:space="0" w:color="auto"/>
            <w:right w:val="none" w:sz="0" w:space="0" w:color="auto"/>
          </w:divBdr>
        </w:div>
        <w:div w:id="1477528670">
          <w:marLeft w:val="1426"/>
          <w:marRight w:val="0"/>
          <w:marTop w:val="77"/>
          <w:marBottom w:val="0"/>
          <w:divBdr>
            <w:top w:val="none" w:sz="0" w:space="0" w:color="auto"/>
            <w:left w:val="none" w:sz="0" w:space="0" w:color="auto"/>
            <w:bottom w:val="none" w:sz="0" w:space="0" w:color="auto"/>
            <w:right w:val="none" w:sz="0" w:space="0" w:color="auto"/>
          </w:divBdr>
        </w:div>
        <w:div w:id="1482505641">
          <w:marLeft w:val="734"/>
          <w:marRight w:val="0"/>
          <w:marTop w:val="134"/>
          <w:marBottom w:val="0"/>
          <w:divBdr>
            <w:top w:val="none" w:sz="0" w:space="0" w:color="auto"/>
            <w:left w:val="none" w:sz="0" w:space="0" w:color="auto"/>
            <w:bottom w:val="none" w:sz="0" w:space="0" w:color="auto"/>
            <w:right w:val="none" w:sz="0" w:space="0" w:color="auto"/>
          </w:divBdr>
        </w:div>
        <w:div w:id="1485702639">
          <w:marLeft w:val="734"/>
          <w:marRight w:val="0"/>
          <w:marTop w:val="154"/>
          <w:marBottom w:val="0"/>
          <w:divBdr>
            <w:top w:val="none" w:sz="0" w:space="0" w:color="auto"/>
            <w:left w:val="none" w:sz="0" w:space="0" w:color="auto"/>
            <w:bottom w:val="none" w:sz="0" w:space="0" w:color="auto"/>
            <w:right w:val="none" w:sz="0" w:space="0" w:color="auto"/>
          </w:divBdr>
        </w:div>
        <w:div w:id="1486123308">
          <w:marLeft w:val="1426"/>
          <w:marRight w:val="0"/>
          <w:marTop w:val="77"/>
          <w:marBottom w:val="0"/>
          <w:divBdr>
            <w:top w:val="none" w:sz="0" w:space="0" w:color="auto"/>
            <w:left w:val="none" w:sz="0" w:space="0" w:color="auto"/>
            <w:bottom w:val="none" w:sz="0" w:space="0" w:color="auto"/>
            <w:right w:val="none" w:sz="0" w:space="0" w:color="auto"/>
          </w:divBdr>
        </w:div>
        <w:div w:id="1488593761">
          <w:marLeft w:val="734"/>
          <w:marRight w:val="0"/>
          <w:marTop w:val="115"/>
          <w:marBottom w:val="0"/>
          <w:divBdr>
            <w:top w:val="none" w:sz="0" w:space="0" w:color="auto"/>
            <w:left w:val="none" w:sz="0" w:space="0" w:color="auto"/>
            <w:bottom w:val="none" w:sz="0" w:space="0" w:color="auto"/>
            <w:right w:val="none" w:sz="0" w:space="0" w:color="auto"/>
          </w:divBdr>
        </w:div>
        <w:div w:id="1509830437">
          <w:marLeft w:val="734"/>
          <w:marRight w:val="0"/>
          <w:marTop w:val="115"/>
          <w:marBottom w:val="0"/>
          <w:divBdr>
            <w:top w:val="none" w:sz="0" w:space="0" w:color="auto"/>
            <w:left w:val="none" w:sz="0" w:space="0" w:color="auto"/>
            <w:bottom w:val="none" w:sz="0" w:space="0" w:color="auto"/>
            <w:right w:val="none" w:sz="0" w:space="0" w:color="auto"/>
          </w:divBdr>
        </w:div>
        <w:div w:id="1537158287">
          <w:marLeft w:val="1426"/>
          <w:marRight w:val="0"/>
          <w:marTop w:val="96"/>
          <w:marBottom w:val="0"/>
          <w:divBdr>
            <w:top w:val="none" w:sz="0" w:space="0" w:color="auto"/>
            <w:left w:val="none" w:sz="0" w:space="0" w:color="auto"/>
            <w:bottom w:val="none" w:sz="0" w:space="0" w:color="auto"/>
            <w:right w:val="none" w:sz="0" w:space="0" w:color="auto"/>
          </w:divBdr>
        </w:div>
        <w:div w:id="1546527097">
          <w:marLeft w:val="734"/>
          <w:marRight w:val="0"/>
          <w:marTop w:val="115"/>
          <w:marBottom w:val="0"/>
          <w:divBdr>
            <w:top w:val="none" w:sz="0" w:space="0" w:color="auto"/>
            <w:left w:val="none" w:sz="0" w:space="0" w:color="auto"/>
            <w:bottom w:val="none" w:sz="0" w:space="0" w:color="auto"/>
            <w:right w:val="none" w:sz="0" w:space="0" w:color="auto"/>
          </w:divBdr>
        </w:div>
        <w:div w:id="1553080251">
          <w:marLeft w:val="1426"/>
          <w:marRight w:val="0"/>
          <w:marTop w:val="96"/>
          <w:marBottom w:val="0"/>
          <w:divBdr>
            <w:top w:val="none" w:sz="0" w:space="0" w:color="auto"/>
            <w:left w:val="none" w:sz="0" w:space="0" w:color="auto"/>
            <w:bottom w:val="none" w:sz="0" w:space="0" w:color="auto"/>
            <w:right w:val="none" w:sz="0" w:space="0" w:color="auto"/>
          </w:divBdr>
        </w:div>
        <w:div w:id="1563830494">
          <w:marLeft w:val="1426"/>
          <w:marRight w:val="0"/>
          <w:marTop w:val="96"/>
          <w:marBottom w:val="0"/>
          <w:divBdr>
            <w:top w:val="none" w:sz="0" w:space="0" w:color="auto"/>
            <w:left w:val="none" w:sz="0" w:space="0" w:color="auto"/>
            <w:bottom w:val="none" w:sz="0" w:space="0" w:color="auto"/>
            <w:right w:val="none" w:sz="0" w:space="0" w:color="auto"/>
          </w:divBdr>
        </w:div>
        <w:div w:id="1568758006">
          <w:marLeft w:val="734"/>
          <w:marRight w:val="0"/>
          <w:marTop w:val="115"/>
          <w:marBottom w:val="0"/>
          <w:divBdr>
            <w:top w:val="none" w:sz="0" w:space="0" w:color="auto"/>
            <w:left w:val="none" w:sz="0" w:space="0" w:color="auto"/>
            <w:bottom w:val="none" w:sz="0" w:space="0" w:color="auto"/>
            <w:right w:val="none" w:sz="0" w:space="0" w:color="auto"/>
          </w:divBdr>
        </w:div>
        <w:div w:id="1589387015">
          <w:marLeft w:val="734"/>
          <w:marRight w:val="0"/>
          <w:marTop w:val="96"/>
          <w:marBottom w:val="0"/>
          <w:divBdr>
            <w:top w:val="none" w:sz="0" w:space="0" w:color="auto"/>
            <w:left w:val="none" w:sz="0" w:space="0" w:color="auto"/>
            <w:bottom w:val="none" w:sz="0" w:space="0" w:color="auto"/>
            <w:right w:val="none" w:sz="0" w:space="0" w:color="auto"/>
          </w:divBdr>
        </w:div>
        <w:div w:id="1600328793">
          <w:marLeft w:val="1426"/>
          <w:marRight w:val="0"/>
          <w:marTop w:val="96"/>
          <w:marBottom w:val="0"/>
          <w:divBdr>
            <w:top w:val="none" w:sz="0" w:space="0" w:color="auto"/>
            <w:left w:val="none" w:sz="0" w:space="0" w:color="auto"/>
            <w:bottom w:val="none" w:sz="0" w:space="0" w:color="auto"/>
            <w:right w:val="none" w:sz="0" w:space="0" w:color="auto"/>
          </w:divBdr>
        </w:div>
        <w:div w:id="1601522390">
          <w:marLeft w:val="1426"/>
          <w:marRight w:val="0"/>
          <w:marTop w:val="96"/>
          <w:marBottom w:val="0"/>
          <w:divBdr>
            <w:top w:val="none" w:sz="0" w:space="0" w:color="auto"/>
            <w:left w:val="none" w:sz="0" w:space="0" w:color="auto"/>
            <w:bottom w:val="none" w:sz="0" w:space="0" w:color="auto"/>
            <w:right w:val="none" w:sz="0" w:space="0" w:color="auto"/>
          </w:divBdr>
        </w:div>
        <w:div w:id="1614287486">
          <w:marLeft w:val="1426"/>
          <w:marRight w:val="0"/>
          <w:marTop w:val="96"/>
          <w:marBottom w:val="0"/>
          <w:divBdr>
            <w:top w:val="none" w:sz="0" w:space="0" w:color="auto"/>
            <w:left w:val="none" w:sz="0" w:space="0" w:color="auto"/>
            <w:bottom w:val="none" w:sz="0" w:space="0" w:color="auto"/>
            <w:right w:val="none" w:sz="0" w:space="0" w:color="auto"/>
          </w:divBdr>
        </w:div>
        <w:div w:id="1649898027">
          <w:marLeft w:val="1426"/>
          <w:marRight w:val="0"/>
          <w:marTop w:val="96"/>
          <w:marBottom w:val="0"/>
          <w:divBdr>
            <w:top w:val="none" w:sz="0" w:space="0" w:color="auto"/>
            <w:left w:val="none" w:sz="0" w:space="0" w:color="auto"/>
            <w:bottom w:val="none" w:sz="0" w:space="0" w:color="auto"/>
            <w:right w:val="none" w:sz="0" w:space="0" w:color="auto"/>
          </w:divBdr>
        </w:div>
        <w:div w:id="1659729588">
          <w:marLeft w:val="1426"/>
          <w:marRight w:val="0"/>
          <w:marTop w:val="96"/>
          <w:marBottom w:val="0"/>
          <w:divBdr>
            <w:top w:val="none" w:sz="0" w:space="0" w:color="auto"/>
            <w:left w:val="none" w:sz="0" w:space="0" w:color="auto"/>
            <w:bottom w:val="none" w:sz="0" w:space="0" w:color="auto"/>
            <w:right w:val="none" w:sz="0" w:space="0" w:color="auto"/>
          </w:divBdr>
        </w:div>
        <w:div w:id="1685865782">
          <w:marLeft w:val="734"/>
          <w:marRight w:val="0"/>
          <w:marTop w:val="115"/>
          <w:marBottom w:val="0"/>
          <w:divBdr>
            <w:top w:val="none" w:sz="0" w:space="0" w:color="auto"/>
            <w:left w:val="none" w:sz="0" w:space="0" w:color="auto"/>
            <w:bottom w:val="none" w:sz="0" w:space="0" w:color="auto"/>
            <w:right w:val="none" w:sz="0" w:space="0" w:color="auto"/>
          </w:divBdr>
        </w:div>
        <w:div w:id="1695426231">
          <w:marLeft w:val="734"/>
          <w:marRight w:val="0"/>
          <w:marTop w:val="115"/>
          <w:marBottom w:val="0"/>
          <w:divBdr>
            <w:top w:val="none" w:sz="0" w:space="0" w:color="auto"/>
            <w:left w:val="none" w:sz="0" w:space="0" w:color="auto"/>
            <w:bottom w:val="none" w:sz="0" w:space="0" w:color="auto"/>
            <w:right w:val="none" w:sz="0" w:space="0" w:color="auto"/>
          </w:divBdr>
        </w:div>
        <w:div w:id="1746103740">
          <w:marLeft w:val="734"/>
          <w:marRight w:val="0"/>
          <w:marTop w:val="115"/>
          <w:marBottom w:val="0"/>
          <w:divBdr>
            <w:top w:val="none" w:sz="0" w:space="0" w:color="auto"/>
            <w:left w:val="none" w:sz="0" w:space="0" w:color="auto"/>
            <w:bottom w:val="none" w:sz="0" w:space="0" w:color="auto"/>
            <w:right w:val="none" w:sz="0" w:space="0" w:color="auto"/>
          </w:divBdr>
        </w:div>
        <w:div w:id="1756126677">
          <w:marLeft w:val="1426"/>
          <w:marRight w:val="0"/>
          <w:marTop w:val="96"/>
          <w:marBottom w:val="0"/>
          <w:divBdr>
            <w:top w:val="none" w:sz="0" w:space="0" w:color="auto"/>
            <w:left w:val="none" w:sz="0" w:space="0" w:color="auto"/>
            <w:bottom w:val="none" w:sz="0" w:space="0" w:color="auto"/>
            <w:right w:val="none" w:sz="0" w:space="0" w:color="auto"/>
          </w:divBdr>
        </w:div>
        <w:div w:id="1759474643">
          <w:marLeft w:val="734"/>
          <w:marRight w:val="0"/>
          <w:marTop w:val="115"/>
          <w:marBottom w:val="0"/>
          <w:divBdr>
            <w:top w:val="none" w:sz="0" w:space="0" w:color="auto"/>
            <w:left w:val="none" w:sz="0" w:space="0" w:color="auto"/>
            <w:bottom w:val="none" w:sz="0" w:space="0" w:color="auto"/>
            <w:right w:val="none" w:sz="0" w:space="0" w:color="auto"/>
          </w:divBdr>
        </w:div>
        <w:div w:id="1762070963">
          <w:marLeft w:val="734"/>
          <w:marRight w:val="0"/>
          <w:marTop w:val="115"/>
          <w:marBottom w:val="0"/>
          <w:divBdr>
            <w:top w:val="none" w:sz="0" w:space="0" w:color="auto"/>
            <w:left w:val="none" w:sz="0" w:space="0" w:color="auto"/>
            <w:bottom w:val="none" w:sz="0" w:space="0" w:color="auto"/>
            <w:right w:val="none" w:sz="0" w:space="0" w:color="auto"/>
          </w:divBdr>
        </w:div>
        <w:div w:id="1762333679">
          <w:marLeft w:val="734"/>
          <w:marRight w:val="0"/>
          <w:marTop w:val="115"/>
          <w:marBottom w:val="0"/>
          <w:divBdr>
            <w:top w:val="none" w:sz="0" w:space="0" w:color="auto"/>
            <w:left w:val="none" w:sz="0" w:space="0" w:color="auto"/>
            <w:bottom w:val="none" w:sz="0" w:space="0" w:color="auto"/>
            <w:right w:val="none" w:sz="0" w:space="0" w:color="auto"/>
          </w:divBdr>
        </w:div>
        <w:div w:id="1767071781">
          <w:marLeft w:val="734"/>
          <w:marRight w:val="0"/>
          <w:marTop w:val="154"/>
          <w:marBottom w:val="0"/>
          <w:divBdr>
            <w:top w:val="none" w:sz="0" w:space="0" w:color="auto"/>
            <w:left w:val="none" w:sz="0" w:space="0" w:color="auto"/>
            <w:bottom w:val="none" w:sz="0" w:space="0" w:color="auto"/>
            <w:right w:val="none" w:sz="0" w:space="0" w:color="auto"/>
          </w:divBdr>
        </w:div>
        <w:div w:id="1776287940">
          <w:marLeft w:val="1426"/>
          <w:marRight w:val="0"/>
          <w:marTop w:val="96"/>
          <w:marBottom w:val="0"/>
          <w:divBdr>
            <w:top w:val="none" w:sz="0" w:space="0" w:color="auto"/>
            <w:left w:val="none" w:sz="0" w:space="0" w:color="auto"/>
            <w:bottom w:val="none" w:sz="0" w:space="0" w:color="auto"/>
            <w:right w:val="none" w:sz="0" w:space="0" w:color="auto"/>
          </w:divBdr>
        </w:div>
        <w:div w:id="1808820039">
          <w:marLeft w:val="734"/>
          <w:marRight w:val="0"/>
          <w:marTop w:val="96"/>
          <w:marBottom w:val="0"/>
          <w:divBdr>
            <w:top w:val="none" w:sz="0" w:space="0" w:color="auto"/>
            <w:left w:val="none" w:sz="0" w:space="0" w:color="auto"/>
            <w:bottom w:val="none" w:sz="0" w:space="0" w:color="auto"/>
            <w:right w:val="none" w:sz="0" w:space="0" w:color="auto"/>
          </w:divBdr>
        </w:div>
        <w:div w:id="1810398260">
          <w:marLeft w:val="734"/>
          <w:marRight w:val="0"/>
          <w:marTop w:val="115"/>
          <w:marBottom w:val="0"/>
          <w:divBdr>
            <w:top w:val="none" w:sz="0" w:space="0" w:color="auto"/>
            <w:left w:val="none" w:sz="0" w:space="0" w:color="auto"/>
            <w:bottom w:val="none" w:sz="0" w:space="0" w:color="auto"/>
            <w:right w:val="none" w:sz="0" w:space="0" w:color="auto"/>
          </w:divBdr>
        </w:div>
        <w:div w:id="1831486116">
          <w:marLeft w:val="734"/>
          <w:marRight w:val="0"/>
          <w:marTop w:val="115"/>
          <w:marBottom w:val="0"/>
          <w:divBdr>
            <w:top w:val="none" w:sz="0" w:space="0" w:color="auto"/>
            <w:left w:val="none" w:sz="0" w:space="0" w:color="auto"/>
            <w:bottom w:val="none" w:sz="0" w:space="0" w:color="auto"/>
            <w:right w:val="none" w:sz="0" w:space="0" w:color="auto"/>
          </w:divBdr>
        </w:div>
        <w:div w:id="1840000453">
          <w:marLeft w:val="2059"/>
          <w:marRight w:val="0"/>
          <w:marTop w:val="67"/>
          <w:marBottom w:val="0"/>
          <w:divBdr>
            <w:top w:val="none" w:sz="0" w:space="0" w:color="auto"/>
            <w:left w:val="none" w:sz="0" w:space="0" w:color="auto"/>
            <w:bottom w:val="none" w:sz="0" w:space="0" w:color="auto"/>
            <w:right w:val="none" w:sz="0" w:space="0" w:color="auto"/>
          </w:divBdr>
        </w:div>
        <w:div w:id="1843163192">
          <w:marLeft w:val="734"/>
          <w:marRight w:val="0"/>
          <w:marTop w:val="134"/>
          <w:marBottom w:val="0"/>
          <w:divBdr>
            <w:top w:val="none" w:sz="0" w:space="0" w:color="auto"/>
            <w:left w:val="none" w:sz="0" w:space="0" w:color="auto"/>
            <w:bottom w:val="none" w:sz="0" w:space="0" w:color="auto"/>
            <w:right w:val="none" w:sz="0" w:space="0" w:color="auto"/>
          </w:divBdr>
        </w:div>
        <w:div w:id="1857575981">
          <w:marLeft w:val="734"/>
          <w:marRight w:val="0"/>
          <w:marTop w:val="115"/>
          <w:marBottom w:val="0"/>
          <w:divBdr>
            <w:top w:val="none" w:sz="0" w:space="0" w:color="auto"/>
            <w:left w:val="none" w:sz="0" w:space="0" w:color="auto"/>
            <w:bottom w:val="none" w:sz="0" w:space="0" w:color="auto"/>
            <w:right w:val="none" w:sz="0" w:space="0" w:color="auto"/>
          </w:divBdr>
        </w:div>
        <w:div w:id="1867671588">
          <w:marLeft w:val="1426"/>
          <w:marRight w:val="0"/>
          <w:marTop w:val="86"/>
          <w:marBottom w:val="0"/>
          <w:divBdr>
            <w:top w:val="none" w:sz="0" w:space="0" w:color="auto"/>
            <w:left w:val="none" w:sz="0" w:space="0" w:color="auto"/>
            <w:bottom w:val="none" w:sz="0" w:space="0" w:color="auto"/>
            <w:right w:val="none" w:sz="0" w:space="0" w:color="auto"/>
          </w:divBdr>
        </w:div>
        <w:div w:id="1879007881">
          <w:marLeft w:val="1426"/>
          <w:marRight w:val="0"/>
          <w:marTop w:val="96"/>
          <w:marBottom w:val="0"/>
          <w:divBdr>
            <w:top w:val="none" w:sz="0" w:space="0" w:color="auto"/>
            <w:left w:val="none" w:sz="0" w:space="0" w:color="auto"/>
            <w:bottom w:val="none" w:sz="0" w:space="0" w:color="auto"/>
            <w:right w:val="none" w:sz="0" w:space="0" w:color="auto"/>
          </w:divBdr>
        </w:div>
        <w:div w:id="1886529002">
          <w:marLeft w:val="734"/>
          <w:marRight w:val="0"/>
          <w:marTop w:val="96"/>
          <w:marBottom w:val="0"/>
          <w:divBdr>
            <w:top w:val="none" w:sz="0" w:space="0" w:color="auto"/>
            <w:left w:val="none" w:sz="0" w:space="0" w:color="auto"/>
            <w:bottom w:val="none" w:sz="0" w:space="0" w:color="auto"/>
            <w:right w:val="none" w:sz="0" w:space="0" w:color="auto"/>
          </w:divBdr>
        </w:div>
        <w:div w:id="1890192463">
          <w:marLeft w:val="1426"/>
          <w:marRight w:val="0"/>
          <w:marTop w:val="77"/>
          <w:marBottom w:val="0"/>
          <w:divBdr>
            <w:top w:val="none" w:sz="0" w:space="0" w:color="auto"/>
            <w:left w:val="none" w:sz="0" w:space="0" w:color="auto"/>
            <w:bottom w:val="none" w:sz="0" w:space="0" w:color="auto"/>
            <w:right w:val="none" w:sz="0" w:space="0" w:color="auto"/>
          </w:divBdr>
        </w:div>
        <w:div w:id="1892763627">
          <w:marLeft w:val="734"/>
          <w:marRight w:val="0"/>
          <w:marTop w:val="115"/>
          <w:marBottom w:val="0"/>
          <w:divBdr>
            <w:top w:val="none" w:sz="0" w:space="0" w:color="auto"/>
            <w:left w:val="none" w:sz="0" w:space="0" w:color="auto"/>
            <w:bottom w:val="none" w:sz="0" w:space="0" w:color="auto"/>
            <w:right w:val="none" w:sz="0" w:space="0" w:color="auto"/>
          </w:divBdr>
        </w:div>
        <w:div w:id="1902594658">
          <w:marLeft w:val="734"/>
          <w:marRight w:val="0"/>
          <w:marTop w:val="154"/>
          <w:marBottom w:val="0"/>
          <w:divBdr>
            <w:top w:val="none" w:sz="0" w:space="0" w:color="auto"/>
            <w:left w:val="none" w:sz="0" w:space="0" w:color="auto"/>
            <w:bottom w:val="none" w:sz="0" w:space="0" w:color="auto"/>
            <w:right w:val="none" w:sz="0" w:space="0" w:color="auto"/>
          </w:divBdr>
        </w:div>
        <w:div w:id="1905602286">
          <w:marLeft w:val="734"/>
          <w:marRight w:val="0"/>
          <w:marTop w:val="115"/>
          <w:marBottom w:val="0"/>
          <w:divBdr>
            <w:top w:val="none" w:sz="0" w:space="0" w:color="auto"/>
            <w:left w:val="none" w:sz="0" w:space="0" w:color="auto"/>
            <w:bottom w:val="none" w:sz="0" w:space="0" w:color="auto"/>
            <w:right w:val="none" w:sz="0" w:space="0" w:color="auto"/>
          </w:divBdr>
        </w:div>
        <w:div w:id="1911694106">
          <w:marLeft w:val="734"/>
          <w:marRight w:val="0"/>
          <w:marTop w:val="96"/>
          <w:marBottom w:val="0"/>
          <w:divBdr>
            <w:top w:val="none" w:sz="0" w:space="0" w:color="auto"/>
            <w:left w:val="none" w:sz="0" w:space="0" w:color="auto"/>
            <w:bottom w:val="none" w:sz="0" w:space="0" w:color="auto"/>
            <w:right w:val="none" w:sz="0" w:space="0" w:color="auto"/>
          </w:divBdr>
        </w:div>
        <w:div w:id="1913924561">
          <w:marLeft w:val="734"/>
          <w:marRight w:val="0"/>
          <w:marTop w:val="115"/>
          <w:marBottom w:val="0"/>
          <w:divBdr>
            <w:top w:val="none" w:sz="0" w:space="0" w:color="auto"/>
            <w:left w:val="none" w:sz="0" w:space="0" w:color="auto"/>
            <w:bottom w:val="none" w:sz="0" w:space="0" w:color="auto"/>
            <w:right w:val="none" w:sz="0" w:space="0" w:color="auto"/>
          </w:divBdr>
        </w:div>
        <w:div w:id="1918828556">
          <w:marLeft w:val="1426"/>
          <w:marRight w:val="0"/>
          <w:marTop w:val="96"/>
          <w:marBottom w:val="0"/>
          <w:divBdr>
            <w:top w:val="none" w:sz="0" w:space="0" w:color="auto"/>
            <w:left w:val="none" w:sz="0" w:space="0" w:color="auto"/>
            <w:bottom w:val="none" w:sz="0" w:space="0" w:color="auto"/>
            <w:right w:val="none" w:sz="0" w:space="0" w:color="auto"/>
          </w:divBdr>
        </w:div>
        <w:div w:id="1927108684">
          <w:marLeft w:val="734"/>
          <w:marRight w:val="0"/>
          <w:marTop w:val="134"/>
          <w:marBottom w:val="0"/>
          <w:divBdr>
            <w:top w:val="none" w:sz="0" w:space="0" w:color="auto"/>
            <w:left w:val="none" w:sz="0" w:space="0" w:color="auto"/>
            <w:bottom w:val="none" w:sz="0" w:space="0" w:color="auto"/>
            <w:right w:val="none" w:sz="0" w:space="0" w:color="auto"/>
          </w:divBdr>
        </w:div>
        <w:div w:id="1940092139">
          <w:marLeft w:val="734"/>
          <w:marRight w:val="0"/>
          <w:marTop w:val="144"/>
          <w:marBottom w:val="0"/>
          <w:divBdr>
            <w:top w:val="none" w:sz="0" w:space="0" w:color="auto"/>
            <w:left w:val="none" w:sz="0" w:space="0" w:color="auto"/>
            <w:bottom w:val="none" w:sz="0" w:space="0" w:color="auto"/>
            <w:right w:val="none" w:sz="0" w:space="0" w:color="auto"/>
          </w:divBdr>
        </w:div>
        <w:div w:id="1943223986">
          <w:marLeft w:val="734"/>
          <w:marRight w:val="0"/>
          <w:marTop w:val="115"/>
          <w:marBottom w:val="0"/>
          <w:divBdr>
            <w:top w:val="none" w:sz="0" w:space="0" w:color="auto"/>
            <w:left w:val="none" w:sz="0" w:space="0" w:color="auto"/>
            <w:bottom w:val="none" w:sz="0" w:space="0" w:color="auto"/>
            <w:right w:val="none" w:sz="0" w:space="0" w:color="auto"/>
          </w:divBdr>
        </w:div>
        <w:div w:id="1945570785">
          <w:marLeft w:val="734"/>
          <w:marRight w:val="0"/>
          <w:marTop w:val="115"/>
          <w:marBottom w:val="0"/>
          <w:divBdr>
            <w:top w:val="none" w:sz="0" w:space="0" w:color="auto"/>
            <w:left w:val="none" w:sz="0" w:space="0" w:color="auto"/>
            <w:bottom w:val="none" w:sz="0" w:space="0" w:color="auto"/>
            <w:right w:val="none" w:sz="0" w:space="0" w:color="auto"/>
          </w:divBdr>
        </w:div>
        <w:div w:id="1948586227">
          <w:marLeft w:val="734"/>
          <w:marRight w:val="0"/>
          <w:marTop w:val="115"/>
          <w:marBottom w:val="0"/>
          <w:divBdr>
            <w:top w:val="none" w:sz="0" w:space="0" w:color="auto"/>
            <w:left w:val="none" w:sz="0" w:space="0" w:color="auto"/>
            <w:bottom w:val="none" w:sz="0" w:space="0" w:color="auto"/>
            <w:right w:val="none" w:sz="0" w:space="0" w:color="auto"/>
          </w:divBdr>
        </w:div>
        <w:div w:id="1955555412">
          <w:marLeft w:val="1426"/>
          <w:marRight w:val="0"/>
          <w:marTop w:val="96"/>
          <w:marBottom w:val="0"/>
          <w:divBdr>
            <w:top w:val="none" w:sz="0" w:space="0" w:color="auto"/>
            <w:left w:val="none" w:sz="0" w:space="0" w:color="auto"/>
            <w:bottom w:val="none" w:sz="0" w:space="0" w:color="auto"/>
            <w:right w:val="none" w:sz="0" w:space="0" w:color="auto"/>
          </w:divBdr>
        </w:div>
        <w:div w:id="1970429001">
          <w:marLeft w:val="1426"/>
          <w:marRight w:val="0"/>
          <w:marTop w:val="77"/>
          <w:marBottom w:val="0"/>
          <w:divBdr>
            <w:top w:val="none" w:sz="0" w:space="0" w:color="auto"/>
            <w:left w:val="none" w:sz="0" w:space="0" w:color="auto"/>
            <w:bottom w:val="none" w:sz="0" w:space="0" w:color="auto"/>
            <w:right w:val="none" w:sz="0" w:space="0" w:color="auto"/>
          </w:divBdr>
        </w:div>
        <w:div w:id="1971664053">
          <w:marLeft w:val="734"/>
          <w:marRight w:val="0"/>
          <w:marTop w:val="115"/>
          <w:marBottom w:val="0"/>
          <w:divBdr>
            <w:top w:val="none" w:sz="0" w:space="0" w:color="auto"/>
            <w:left w:val="none" w:sz="0" w:space="0" w:color="auto"/>
            <w:bottom w:val="none" w:sz="0" w:space="0" w:color="auto"/>
            <w:right w:val="none" w:sz="0" w:space="0" w:color="auto"/>
          </w:divBdr>
        </w:div>
        <w:div w:id="1994024745">
          <w:marLeft w:val="734"/>
          <w:marRight w:val="0"/>
          <w:marTop w:val="115"/>
          <w:marBottom w:val="0"/>
          <w:divBdr>
            <w:top w:val="none" w:sz="0" w:space="0" w:color="auto"/>
            <w:left w:val="none" w:sz="0" w:space="0" w:color="auto"/>
            <w:bottom w:val="none" w:sz="0" w:space="0" w:color="auto"/>
            <w:right w:val="none" w:sz="0" w:space="0" w:color="auto"/>
          </w:divBdr>
        </w:div>
        <w:div w:id="2034919504">
          <w:marLeft w:val="1426"/>
          <w:marRight w:val="0"/>
          <w:marTop w:val="96"/>
          <w:marBottom w:val="0"/>
          <w:divBdr>
            <w:top w:val="none" w:sz="0" w:space="0" w:color="auto"/>
            <w:left w:val="none" w:sz="0" w:space="0" w:color="auto"/>
            <w:bottom w:val="none" w:sz="0" w:space="0" w:color="auto"/>
            <w:right w:val="none" w:sz="0" w:space="0" w:color="auto"/>
          </w:divBdr>
        </w:div>
        <w:div w:id="2041777518">
          <w:marLeft w:val="1426"/>
          <w:marRight w:val="0"/>
          <w:marTop w:val="96"/>
          <w:marBottom w:val="0"/>
          <w:divBdr>
            <w:top w:val="none" w:sz="0" w:space="0" w:color="auto"/>
            <w:left w:val="none" w:sz="0" w:space="0" w:color="auto"/>
            <w:bottom w:val="none" w:sz="0" w:space="0" w:color="auto"/>
            <w:right w:val="none" w:sz="0" w:space="0" w:color="auto"/>
          </w:divBdr>
        </w:div>
        <w:div w:id="2043896744">
          <w:marLeft w:val="734"/>
          <w:marRight w:val="0"/>
          <w:marTop w:val="115"/>
          <w:marBottom w:val="0"/>
          <w:divBdr>
            <w:top w:val="none" w:sz="0" w:space="0" w:color="auto"/>
            <w:left w:val="none" w:sz="0" w:space="0" w:color="auto"/>
            <w:bottom w:val="none" w:sz="0" w:space="0" w:color="auto"/>
            <w:right w:val="none" w:sz="0" w:space="0" w:color="auto"/>
          </w:divBdr>
        </w:div>
        <w:div w:id="2045979455">
          <w:marLeft w:val="734"/>
          <w:marRight w:val="0"/>
          <w:marTop w:val="115"/>
          <w:marBottom w:val="0"/>
          <w:divBdr>
            <w:top w:val="none" w:sz="0" w:space="0" w:color="auto"/>
            <w:left w:val="none" w:sz="0" w:space="0" w:color="auto"/>
            <w:bottom w:val="none" w:sz="0" w:space="0" w:color="auto"/>
            <w:right w:val="none" w:sz="0" w:space="0" w:color="auto"/>
          </w:divBdr>
        </w:div>
        <w:div w:id="2054768518">
          <w:marLeft w:val="1426"/>
          <w:marRight w:val="0"/>
          <w:marTop w:val="86"/>
          <w:marBottom w:val="0"/>
          <w:divBdr>
            <w:top w:val="none" w:sz="0" w:space="0" w:color="auto"/>
            <w:left w:val="none" w:sz="0" w:space="0" w:color="auto"/>
            <w:bottom w:val="none" w:sz="0" w:space="0" w:color="auto"/>
            <w:right w:val="none" w:sz="0" w:space="0" w:color="auto"/>
          </w:divBdr>
        </w:div>
        <w:div w:id="2056462211">
          <w:marLeft w:val="1426"/>
          <w:marRight w:val="0"/>
          <w:marTop w:val="77"/>
          <w:marBottom w:val="0"/>
          <w:divBdr>
            <w:top w:val="none" w:sz="0" w:space="0" w:color="auto"/>
            <w:left w:val="none" w:sz="0" w:space="0" w:color="auto"/>
            <w:bottom w:val="none" w:sz="0" w:space="0" w:color="auto"/>
            <w:right w:val="none" w:sz="0" w:space="0" w:color="auto"/>
          </w:divBdr>
        </w:div>
        <w:div w:id="2065327058">
          <w:marLeft w:val="734"/>
          <w:marRight w:val="0"/>
          <w:marTop w:val="115"/>
          <w:marBottom w:val="0"/>
          <w:divBdr>
            <w:top w:val="none" w:sz="0" w:space="0" w:color="auto"/>
            <w:left w:val="none" w:sz="0" w:space="0" w:color="auto"/>
            <w:bottom w:val="none" w:sz="0" w:space="0" w:color="auto"/>
            <w:right w:val="none" w:sz="0" w:space="0" w:color="auto"/>
          </w:divBdr>
        </w:div>
        <w:div w:id="2070767558">
          <w:marLeft w:val="734"/>
          <w:marRight w:val="0"/>
          <w:marTop w:val="134"/>
          <w:marBottom w:val="0"/>
          <w:divBdr>
            <w:top w:val="none" w:sz="0" w:space="0" w:color="auto"/>
            <w:left w:val="none" w:sz="0" w:space="0" w:color="auto"/>
            <w:bottom w:val="none" w:sz="0" w:space="0" w:color="auto"/>
            <w:right w:val="none" w:sz="0" w:space="0" w:color="auto"/>
          </w:divBdr>
        </w:div>
        <w:div w:id="2084184744">
          <w:marLeft w:val="1426"/>
          <w:marRight w:val="0"/>
          <w:marTop w:val="96"/>
          <w:marBottom w:val="0"/>
          <w:divBdr>
            <w:top w:val="none" w:sz="0" w:space="0" w:color="auto"/>
            <w:left w:val="none" w:sz="0" w:space="0" w:color="auto"/>
            <w:bottom w:val="none" w:sz="0" w:space="0" w:color="auto"/>
            <w:right w:val="none" w:sz="0" w:space="0" w:color="auto"/>
          </w:divBdr>
        </w:div>
        <w:div w:id="2088073253">
          <w:marLeft w:val="734"/>
          <w:marRight w:val="0"/>
          <w:marTop w:val="115"/>
          <w:marBottom w:val="0"/>
          <w:divBdr>
            <w:top w:val="none" w:sz="0" w:space="0" w:color="auto"/>
            <w:left w:val="none" w:sz="0" w:space="0" w:color="auto"/>
            <w:bottom w:val="none" w:sz="0" w:space="0" w:color="auto"/>
            <w:right w:val="none" w:sz="0" w:space="0" w:color="auto"/>
          </w:divBdr>
        </w:div>
        <w:div w:id="2097171921">
          <w:marLeft w:val="734"/>
          <w:marRight w:val="0"/>
          <w:marTop w:val="115"/>
          <w:marBottom w:val="0"/>
          <w:divBdr>
            <w:top w:val="none" w:sz="0" w:space="0" w:color="auto"/>
            <w:left w:val="none" w:sz="0" w:space="0" w:color="auto"/>
            <w:bottom w:val="none" w:sz="0" w:space="0" w:color="auto"/>
            <w:right w:val="none" w:sz="0" w:space="0" w:color="auto"/>
          </w:divBdr>
        </w:div>
        <w:div w:id="2111465748">
          <w:marLeft w:val="1426"/>
          <w:marRight w:val="0"/>
          <w:marTop w:val="96"/>
          <w:marBottom w:val="0"/>
          <w:divBdr>
            <w:top w:val="none" w:sz="0" w:space="0" w:color="auto"/>
            <w:left w:val="none" w:sz="0" w:space="0" w:color="auto"/>
            <w:bottom w:val="none" w:sz="0" w:space="0" w:color="auto"/>
            <w:right w:val="none" w:sz="0" w:space="0" w:color="auto"/>
          </w:divBdr>
        </w:div>
        <w:div w:id="2125346666">
          <w:marLeft w:val="1426"/>
          <w:marRight w:val="0"/>
          <w:marTop w:val="77"/>
          <w:marBottom w:val="0"/>
          <w:divBdr>
            <w:top w:val="none" w:sz="0" w:space="0" w:color="auto"/>
            <w:left w:val="none" w:sz="0" w:space="0" w:color="auto"/>
            <w:bottom w:val="none" w:sz="0" w:space="0" w:color="auto"/>
            <w:right w:val="none" w:sz="0" w:space="0" w:color="auto"/>
          </w:divBdr>
        </w:div>
        <w:div w:id="2129935489">
          <w:marLeft w:val="734"/>
          <w:marRight w:val="0"/>
          <w:marTop w:val="115"/>
          <w:marBottom w:val="0"/>
          <w:divBdr>
            <w:top w:val="none" w:sz="0" w:space="0" w:color="auto"/>
            <w:left w:val="none" w:sz="0" w:space="0" w:color="auto"/>
            <w:bottom w:val="none" w:sz="0" w:space="0" w:color="auto"/>
            <w:right w:val="none" w:sz="0" w:space="0" w:color="auto"/>
          </w:divBdr>
        </w:div>
        <w:div w:id="2131431366">
          <w:marLeft w:val="1426"/>
          <w:marRight w:val="0"/>
          <w:marTop w:val="96"/>
          <w:marBottom w:val="0"/>
          <w:divBdr>
            <w:top w:val="none" w:sz="0" w:space="0" w:color="auto"/>
            <w:left w:val="none" w:sz="0" w:space="0" w:color="auto"/>
            <w:bottom w:val="none" w:sz="0" w:space="0" w:color="auto"/>
            <w:right w:val="none" w:sz="0" w:space="0" w:color="auto"/>
          </w:divBdr>
        </w:div>
        <w:div w:id="2140996584">
          <w:marLeft w:val="734"/>
          <w:marRight w:val="0"/>
          <w:marTop w:val="134"/>
          <w:marBottom w:val="0"/>
          <w:divBdr>
            <w:top w:val="none" w:sz="0" w:space="0" w:color="auto"/>
            <w:left w:val="none" w:sz="0" w:space="0" w:color="auto"/>
            <w:bottom w:val="none" w:sz="0" w:space="0" w:color="auto"/>
            <w:right w:val="none" w:sz="0" w:space="0" w:color="auto"/>
          </w:divBdr>
        </w:div>
        <w:div w:id="2141072850">
          <w:marLeft w:val="1426"/>
          <w:marRight w:val="0"/>
          <w:marTop w:val="77"/>
          <w:marBottom w:val="0"/>
          <w:divBdr>
            <w:top w:val="none" w:sz="0" w:space="0" w:color="auto"/>
            <w:left w:val="none" w:sz="0" w:space="0" w:color="auto"/>
            <w:bottom w:val="none" w:sz="0" w:space="0" w:color="auto"/>
            <w:right w:val="none" w:sz="0" w:space="0" w:color="auto"/>
          </w:divBdr>
        </w:div>
        <w:div w:id="2141339314">
          <w:marLeft w:val="1426"/>
          <w:marRight w:val="0"/>
          <w:marTop w:val="96"/>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00E8B-E466-4665-9623-A421ABBEE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8685</Words>
  <Characters>49508</Characters>
  <Application>Microsoft Office Word</Application>
  <DocSecurity>0</DocSecurity>
  <Lines>412</Lines>
  <Paragraphs>116</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Abstract</vt:lpstr>
      <vt:lpstr>Introduction</vt:lpstr>
      <vt:lpstr>    Summary of Process</vt:lpstr>
      <vt:lpstr>Summary of Recommendations – Overall Budget</vt:lpstr>
      <vt:lpstr>    Budget Summary and Caveats  </vt:lpstr>
      <vt:lpstr>    Budget for the Three-Year Evaluation Budget and Plan  </vt:lpstr>
      <vt:lpstr>Recommended Studies for the Three-Year Evaluation Plan </vt:lpstr>
      <vt:lpstr>Study Descriptions</vt:lpstr>
      <vt:lpstr>    4.1 Baseline Studies (2201-2209)</vt:lpstr>
      <vt:lpstr>    4.2 Impact and Impact /Process Evaluations (2210-2219)</vt:lpstr>
      <vt:lpstr>    4.3 Process Evaluations (2220-2224)</vt:lpstr>
      <vt:lpstr>    4.4 PSD Studies (2225-2229)  </vt:lpstr>
      <vt:lpstr>    4.5 Topic Studies (2230-2246)</vt:lpstr>
    </vt:vector>
  </TitlesOfParts>
  <Company/>
  <LinksUpToDate>false</LinksUpToDate>
  <CharactersWithSpaces>58077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LisaSkumatz</dc:creator>
  <cp:keywords/>
  <dc:description/>
  <cp:lastModifiedBy>Lisa Skumatz</cp:lastModifiedBy>
  <cp:revision>2</cp:revision>
  <cp:lastPrinted>2022-01-10T07:13:00Z</cp:lastPrinted>
  <dcterms:created xsi:type="dcterms:W3CDTF">2022-01-10T10:39:00Z</dcterms:created>
  <dcterms:modified xsi:type="dcterms:W3CDTF">2022-01-10T10:39:00Z</dcterms:modified>
</cp:coreProperties>
</file>