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9FB86" w14:textId="084FE4A0" w:rsidR="00A9204E" w:rsidRPr="001B4321" w:rsidRDefault="00801974">
      <w:pPr>
        <w:rPr>
          <w:b/>
          <w:bCs/>
          <w:sz w:val="32"/>
          <w:szCs w:val="32"/>
        </w:rPr>
      </w:pPr>
      <w:r w:rsidRPr="001B4321">
        <w:rPr>
          <w:b/>
          <w:bCs/>
          <w:sz w:val="32"/>
          <w:szCs w:val="32"/>
        </w:rPr>
        <w:t>MEMORANDUM</w:t>
      </w:r>
      <w:r w:rsidR="001B4321">
        <w:rPr>
          <w:b/>
          <w:bCs/>
          <w:sz w:val="32"/>
          <w:szCs w:val="32"/>
        </w:rPr>
        <w:t>/ABSTRACT</w:t>
      </w:r>
    </w:p>
    <w:p w14:paraId="483D7F18" w14:textId="7A4188E4" w:rsidR="00801974" w:rsidRDefault="00801974"/>
    <w:p w14:paraId="3F2D967A" w14:textId="0B5249BA" w:rsidR="00801974" w:rsidRPr="00801974" w:rsidRDefault="00801974" w:rsidP="00600579">
      <w:pPr>
        <w:spacing w:line="360" w:lineRule="auto"/>
        <w:rPr>
          <w:b/>
          <w:bCs/>
        </w:rPr>
      </w:pPr>
      <w:r w:rsidRPr="00801974">
        <w:rPr>
          <w:b/>
          <w:bCs/>
        </w:rPr>
        <w:t>DATE:</w:t>
      </w:r>
      <w:r w:rsidR="001B4321">
        <w:rPr>
          <w:b/>
          <w:bCs/>
        </w:rPr>
        <w:tab/>
      </w:r>
      <w:r w:rsidR="001B4321">
        <w:rPr>
          <w:b/>
          <w:bCs/>
        </w:rPr>
        <w:tab/>
        <w:t>1/7/22</w:t>
      </w:r>
    </w:p>
    <w:p w14:paraId="5CF287AE" w14:textId="6F18CAAC" w:rsidR="00801974" w:rsidRPr="00801974" w:rsidRDefault="00801974" w:rsidP="00600579">
      <w:pPr>
        <w:spacing w:line="360" w:lineRule="auto"/>
        <w:rPr>
          <w:b/>
          <w:bCs/>
        </w:rPr>
      </w:pPr>
      <w:r w:rsidRPr="00801974">
        <w:rPr>
          <w:b/>
          <w:bCs/>
        </w:rPr>
        <w:t>TO:</w:t>
      </w:r>
      <w:r w:rsidR="001B4321">
        <w:rPr>
          <w:b/>
          <w:bCs/>
        </w:rPr>
        <w:tab/>
      </w:r>
      <w:r w:rsidR="001B4321">
        <w:rPr>
          <w:b/>
          <w:bCs/>
        </w:rPr>
        <w:tab/>
        <w:t>CT EEB</w:t>
      </w:r>
    </w:p>
    <w:p w14:paraId="33BDF67C" w14:textId="22B7B9AF" w:rsidR="00801974" w:rsidRPr="00801974" w:rsidRDefault="00801974" w:rsidP="00600579">
      <w:pPr>
        <w:spacing w:line="360" w:lineRule="auto"/>
        <w:rPr>
          <w:b/>
          <w:bCs/>
        </w:rPr>
      </w:pPr>
      <w:r w:rsidRPr="00801974">
        <w:rPr>
          <w:b/>
          <w:bCs/>
        </w:rPr>
        <w:t>FROM:</w:t>
      </w:r>
      <w:r w:rsidR="001B4321">
        <w:rPr>
          <w:b/>
          <w:bCs/>
        </w:rPr>
        <w:tab/>
      </w:r>
      <w:r w:rsidR="001B4321">
        <w:rPr>
          <w:b/>
          <w:bCs/>
        </w:rPr>
        <w:tab/>
        <w:t>Evaluation Administrators</w:t>
      </w:r>
    </w:p>
    <w:p w14:paraId="0527A160" w14:textId="7D5B35FA" w:rsidR="00801974" w:rsidRPr="00801974" w:rsidRDefault="00801974" w:rsidP="00600579">
      <w:pPr>
        <w:pBdr>
          <w:bottom w:val="single" w:sz="4" w:space="1" w:color="auto"/>
        </w:pBdr>
        <w:spacing w:line="360" w:lineRule="auto"/>
        <w:rPr>
          <w:b/>
          <w:bCs/>
        </w:rPr>
      </w:pPr>
      <w:r w:rsidRPr="00801974">
        <w:rPr>
          <w:b/>
          <w:bCs/>
        </w:rPr>
        <w:t>SUBJECT:</w:t>
      </w:r>
      <w:r>
        <w:rPr>
          <w:b/>
          <w:bCs/>
        </w:rPr>
        <w:t xml:space="preserve">  </w:t>
      </w:r>
      <w:r w:rsidR="001B4321">
        <w:rPr>
          <w:b/>
          <w:bCs/>
        </w:rPr>
        <w:tab/>
      </w:r>
      <w:r>
        <w:rPr>
          <w:b/>
          <w:bCs/>
        </w:rPr>
        <w:t>Abstract of Evaluation Plan / Requests for EEB’s January 2022 Meeting</w:t>
      </w:r>
    </w:p>
    <w:p w14:paraId="1059DFB5" w14:textId="62E7E9EF" w:rsidR="00801974" w:rsidRDefault="00801974"/>
    <w:p w14:paraId="3AC95E34" w14:textId="4C136E96" w:rsidR="00D83CD3" w:rsidRDefault="00B45F98">
      <w:r w:rsidRPr="00B45F98">
        <w:rPr>
          <w:b/>
          <w:bCs/>
        </w:rPr>
        <w:t>A</w:t>
      </w:r>
      <w:r w:rsidR="00340868">
        <w:rPr>
          <w:b/>
          <w:bCs/>
        </w:rPr>
        <w:t>CTION/REQUEST</w:t>
      </w:r>
      <w:r>
        <w:t xml:space="preserve">:  </w:t>
      </w:r>
      <w:r w:rsidR="00801974">
        <w:t>At the request of the EEB, the Evaluation Administrators are providing a more detailed briefing on the 3-Year Evaluation Plan and budget</w:t>
      </w:r>
      <w:r w:rsidR="00D83CD3">
        <w:t xml:space="preserve"> for the EEB January meeting, and request the following action:</w:t>
      </w:r>
    </w:p>
    <w:p w14:paraId="7BE45C13" w14:textId="0C5B32E1" w:rsidR="00D83CD3" w:rsidRDefault="00D83CD3" w:rsidP="00D83CD3">
      <w:pPr>
        <w:pStyle w:val="ListParagraph"/>
        <w:numPr>
          <w:ilvl w:val="0"/>
          <w:numId w:val="31"/>
        </w:numPr>
      </w:pPr>
      <w:r>
        <w:t>Approval of the proposed 2022-24 Evaluation Plan Budget and EA Team Budget (Figure 1), which has been approved by Evaluation Committee vote.</w:t>
      </w:r>
    </w:p>
    <w:p w14:paraId="453FABFC" w14:textId="77777777" w:rsidR="00D83CD3" w:rsidRPr="00432997" w:rsidRDefault="00D83CD3" w:rsidP="00D83CD3">
      <w:pPr>
        <w:rPr>
          <w:b/>
          <w:bCs/>
        </w:rPr>
      </w:pPr>
      <w:r>
        <w:t xml:space="preserve"> </w:t>
      </w:r>
      <w:r w:rsidRPr="00432997">
        <w:rPr>
          <w:b/>
          <w:bCs/>
        </w:rPr>
        <w:t xml:space="preserve">Figure </w:t>
      </w:r>
      <w:r>
        <w:rPr>
          <w:b/>
          <w:bCs/>
        </w:rPr>
        <w:t>A.</w:t>
      </w:r>
      <w:r w:rsidRPr="00432997">
        <w:rPr>
          <w:b/>
          <w:bCs/>
        </w:rPr>
        <w:t>1:  Three-</w:t>
      </w:r>
      <w:r>
        <w:rPr>
          <w:b/>
          <w:bCs/>
        </w:rPr>
        <w:t>Y</w:t>
      </w:r>
      <w:r w:rsidRPr="00432997">
        <w:rPr>
          <w:b/>
          <w:bCs/>
        </w:rPr>
        <w:t>ear Eval</w:t>
      </w:r>
      <w:r>
        <w:rPr>
          <w:b/>
          <w:bCs/>
        </w:rPr>
        <w:t>u</w:t>
      </w:r>
      <w:r w:rsidRPr="00432997">
        <w:rPr>
          <w:b/>
          <w:bCs/>
        </w:rPr>
        <w:t>ation Plan Budget</w:t>
      </w:r>
    </w:p>
    <w:tbl>
      <w:tblPr>
        <w:tblW w:w="6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5"/>
        <w:gridCol w:w="1080"/>
        <w:gridCol w:w="1170"/>
        <w:gridCol w:w="1170"/>
        <w:gridCol w:w="1170"/>
      </w:tblGrid>
      <w:tr w:rsidR="00D83CD3" w:rsidRPr="00095E90" w14:paraId="6A163B2C" w14:textId="6F3EDC25" w:rsidTr="00542FB7">
        <w:trPr>
          <w:trHeight w:val="197"/>
        </w:trPr>
        <w:tc>
          <w:tcPr>
            <w:tcW w:w="2245" w:type="dxa"/>
            <w:shd w:val="clear" w:color="auto" w:fill="D9E2F3" w:themeFill="accent5" w:themeFillTint="33"/>
            <w:vAlign w:val="bottom"/>
          </w:tcPr>
          <w:p w14:paraId="36B5C959" w14:textId="77777777" w:rsidR="00D83CD3" w:rsidRPr="00095E90" w:rsidRDefault="00D83CD3" w:rsidP="00B244B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Budget Entry</w:t>
            </w:r>
          </w:p>
        </w:tc>
        <w:tc>
          <w:tcPr>
            <w:tcW w:w="1080" w:type="dxa"/>
            <w:shd w:val="clear" w:color="auto" w:fill="D9E2F3" w:themeFill="accent5" w:themeFillTint="33"/>
            <w:noWrap/>
            <w:vAlign w:val="bottom"/>
            <w:hideMark/>
          </w:tcPr>
          <w:p w14:paraId="76FA3D43" w14:textId="77777777" w:rsidR="00D83CD3" w:rsidRPr="00095E90" w:rsidRDefault="00D83CD3" w:rsidP="00B244B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95E9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Year 2022</w:t>
            </w:r>
          </w:p>
        </w:tc>
        <w:tc>
          <w:tcPr>
            <w:tcW w:w="1170" w:type="dxa"/>
            <w:shd w:val="clear" w:color="auto" w:fill="D9E2F3" w:themeFill="accent5" w:themeFillTint="33"/>
            <w:noWrap/>
            <w:vAlign w:val="bottom"/>
            <w:hideMark/>
          </w:tcPr>
          <w:p w14:paraId="790D1CB0" w14:textId="77777777" w:rsidR="00D83CD3" w:rsidRPr="00095E90" w:rsidRDefault="00D83CD3" w:rsidP="00B244B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95E9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Year 2023</w:t>
            </w:r>
          </w:p>
        </w:tc>
        <w:tc>
          <w:tcPr>
            <w:tcW w:w="1170" w:type="dxa"/>
            <w:shd w:val="clear" w:color="auto" w:fill="D9E2F3" w:themeFill="accent5" w:themeFillTint="33"/>
            <w:noWrap/>
            <w:vAlign w:val="bottom"/>
            <w:hideMark/>
          </w:tcPr>
          <w:p w14:paraId="071274C4" w14:textId="77777777" w:rsidR="00D83CD3" w:rsidRPr="00095E90" w:rsidRDefault="00D83CD3" w:rsidP="00B244B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95E9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Year 2024</w:t>
            </w:r>
          </w:p>
        </w:tc>
        <w:tc>
          <w:tcPr>
            <w:tcW w:w="1170" w:type="dxa"/>
            <w:shd w:val="clear" w:color="auto" w:fill="D9E2F3" w:themeFill="accent5" w:themeFillTint="33"/>
          </w:tcPr>
          <w:p w14:paraId="59905FBE" w14:textId="2F77CB13" w:rsidR="00D83CD3" w:rsidRPr="00095E90" w:rsidRDefault="00D83CD3" w:rsidP="00B244B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Total</w:t>
            </w:r>
          </w:p>
        </w:tc>
      </w:tr>
      <w:tr w:rsidR="00D83CD3" w:rsidRPr="00095E90" w14:paraId="2296745F" w14:textId="12B5CFDF" w:rsidTr="00D83CD3">
        <w:trPr>
          <w:trHeight w:val="270"/>
        </w:trPr>
        <w:tc>
          <w:tcPr>
            <w:tcW w:w="2245" w:type="dxa"/>
            <w:vAlign w:val="bottom"/>
          </w:tcPr>
          <w:p w14:paraId="71E8FB1F" w14:textId="77777777" w:rsidR="00D83CD3" w:rsidRPr="00095E90" w:rsidRDefault="00D83CD3" w:rsidP="00B244B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Evaluation Plan / Studies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1F6C2EF" w14:textId="77777777" w:rsidR="00D83CD3" w:rsidRPr="00095E90" w:rsidRDefault="00D83CD3" w:rsidP="00B244B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95E9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$4,500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2A1093D" w14:textId="77777777" w:rsidR="00D83CD3" w:rsidRPr="00095E90" w:rsidRDefault="00D83CD3" w:rsidP="00B244B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95E9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$4,500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6EC4EC4" w14:textId="77777777" w:rsidR="00D83CD3" w:rsidRPr="00095E90" w:rsidRDefault="00D83CD3" w:rsidP="00B244B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95E9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$5,775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</w:t>
            </w:r>
          </w:p>
        </w:tc>
        <w:tc>
          <w:tcPr>
            <w:tcW w:w="1170" w:type="dxa"/>
          </w:tcPr>
          <w:p w14:paraId="63F45B4D" w14:textId="6CEAAFD9" w:rsidR="00D83CD3" w:rsidRPr="00095E90" w:rsidRDefault="00D83CD3" w:rsidP="00B244B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$14,775K</w:t>
            </w:r>
          </w:p>
        </w:tc>
      </w:tr>
      <w:tr w:rsidR="00D83CD3" w:rsidRPr="00095E90" w14:paraId="4BC737B5" w14:textId="305F8924" w:rsidTr="00D83CD3">
        <w:trPr>
          <w:trHeight w:val="270"/>
        </w:trPr>
        <w:tc>
          <w:tcPr>
            <w:tcW w:w="2245" w:type="dxa"/>
            <w:vAlign w:val="bottom"/>
          </w:tcPr>
          <w:p w14:paraId="00FB18B6" w14:textId="77777777" w:rsidR="00D83CD3" w:rsidRPr="00095E90" w:rsidRDefault="00D83CD3" w:rsidP="00B244B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EA Budget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BEFBA6F" w14:textId="786A06C8" w:rsidR="00D83CD3" w:rsidRPr="00095E90" w:rsidRDefault="00D83CD3" w:rsidP="00B244B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$444.1K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76D016A1" w14:textId="18D040AE" w:rsidR="00D83CD3" w:rsidRPr="00095E90" w:rsidRDefault="00D83CD3" w:rsidP="00B244B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$444.1K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28010FC8" w14:textId="09C39C4E" w:rsidR="00D83CD3" w:rsidRPr="00095E90" w:rsidRDefault="00D83CD3" w:rsidP="00B244B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$531.2K</w:t>
            </w:r>
          </w:p>
        </w:tc>
        <w:tc>
          <w:tcPr>
            <w:tcW w:w="1170" w:type="dxa"/>
          </w:tcPr>
          <w:p w14:paraId="5C1D00B2" w14:textId="099B3A53" w:rsidR="00D83CD3" w:rsidRDefault="00D83CD3" w:rsidP="00B244B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$1,419.4K</w:t>
            </w:r>
          </w:p>
        </w:tc>
      </w:tr>
    </w:tbl>
    <w:p w14:paraId="73F1D717" w14:textId="69AE402E" w:rsidR="00D83CD3" w:rsidRDefault="00D83CD3"/>
    <w:p w14:paraId="5CE10418" w14:textId="2AC51980" w:rsidR="001B4321" w:rsidRDefault="001B4321">
      <w:r>
        <w:t xml:space="preserve">This is higher than the adopted C&amp;LM plan by $1.275M (9%) for Evaluation studies and $87K (6.5%) for EA team.  The excess represents 0.2% of the adopted C&amp;LM Plan. </w:t>
      </w:r>
      <w:r w:rsidR="00B45F98">
        <w:t xml:space="preserve">The array of Evaluation studies far surpasses past portfolios, and includes 17 requested topic studies aimed at informing the rapid changes in EE in CT.  The new Roadmap changes (especially 3-year contracting) allows evaluation studies to be more nimble, timely, and responsive. </w:t>
      </w:r>
      <w:r w:rsidR="0079026B">
        <w:t xml:space="preserve"> The EA team scope is also provided for review.</w:t>
      </w:r>
    </w:p>
    <w:p w14:paraId="6AF81E7D" w14:textId="024943D7" w:rsidR="001B4321" w:rsidRDefault="001B4321"/>
    <w:p w14:paraId="4FBC365E" w14:textId="042511A8" w:rsidR="00B45F98" w:rsidRDefault="00340868">
      <w:r>
        <w:rPr>
          <w:b/>
          <w:bCs/>
        </w:rPr>
        <w:t>ABSTRACT</w:t>
      </w:r>
      <w:r w:rsidR="00B45F98">
        <w:t>:</w:t>
      </w:r>
    </w:p>
    <w:p w14:paraId="76066517" w14:textId="5A2FB9A5" w:rsidR="00801974" w:rsidRDefault="00801974">
      <w:r>
        <w:t xml:space="preserve">.  The background and requests summarized here are excerpted from attached documents including: </w:t>
      </w:r>
    </w:p>
    <w:p w14:paraId="67A42D0C" w14:textId="61735364" w:rsidR="00801974" w:rsidRDefault="00801974" w:rsidP="00801974">
      <w:pPr>
        <w:pStyle w:val="ListParagraph"/>
        <w:numPr>
          <w:ilvl w:val="0"/>
          <w:numId w:val="29"/>
        </w:numPr>
      </w:pPr>
      <w:r>
        <w:t xml:space="preserve">The </w:t>
      </w:r>
      <w:r w:rsidR="00427D25">
        <w:t>1.5-page</w:t>
      </w:r>
      <w:r>
        <w:t xml:space="preserve"> abstract at the front of the 2022-24 Three-Year Evaluation Plan</w:t>
      </w:r>
    </w:p>
    <w:p w14:paraId="2907FBF2" w14:textId="2CB2A2D6" w:rsidR="00801974" w:rsidRDefault="00801974" w:rsidP="00801974">
      <w:pPr>
        <w:pStyle w:val="ListParagraph"/>
        <w:numPr>
          <w:ilvl w:val="0"/>
          <w:numId w:val="29"/>
        </w:numPr>
      </w:pPr>
      <w:r>
        <w:t xml:space="preserve">The 16-slide presentation on the Evaluation Plan for 2022-24, and </w:t>
      </w:r>
    </w:p>
    <w:p w14:paraId="5C1DA4B0" w14:textId="2CAD993F" w:rsidR="00801974" w:rsidRDefault="00801974" w:rsidP="00801974">
      <w:pPr>
        <w:pStyle w:val="ListParagraph"/>
        <w:numPr>
          <w:ilvl w:val="0"/>
          <w:numId w:val="29"/>
        </w:numPr>
      </w:pPr>
      <w:r>
        <w:t>The Evaluation Administrator work scope.</w:t>
      </w:r>
    </w:p>
    <w:p w14:paraId="54F17372" w14:textId="2C6AD96A" w:rsidR="00B45F98" w:rsidRDefault="00B45F98">
      <w:r>
        <w:rPr>
          <w:b/>
          <w:bCs/>
        </w:rPr>
        <w:t xml:space="preserve">Improved </w:t>
      </w:r>
      <w:r w:rsidR="00600579">
        <w:rPr>
          <w:b/>
          <w:bCs/>
        </w:rPr>
        <w:t xml:space="preserve">Evaluation </w:t>
      </w:r>
      <w:r w:rsidRPr="00B45F98">
        <w:rPr>
          <w:b/>
          <w:bCs/>
        </w:rPr>
        <w:t>Flexibility</w:t>
      </w:r>
      <w:r>
        <w:t>:</w:t>
      </w:r>
      <w:r w:rsidR="00600579">
        <w:t xml:space="preserve">  Two key changes in the Roadmap in 2021 improve CT’s Evaluation environment.  1) Return to 3</w:t>
      </w:r>
      <w:r w:rsidR="006B1B10">
        <w:t>-</w:t>
      </w:r>
      <w:r w:rsidR="00600579">
        <w:t xml:space="preserve">year research area contractors (Residential, Commercial, and Crosscutting &amp; Topics), eliminating the structure and impediments of annual RFPs and contracting delays.  Contracting occurs once, with simple task additions thereafter.  Projects can begin </w:t>
      </w:r>
      <w:r w:rsidR="00427D25">
        <w:t>quickly;</w:t>
      </w:r>
      <w:r w:rsidR="00600579">
        <w:t xml:space="preserve"> studies can be smaller / more responsive.  2) more communication / input at development and scoping stage for better and up-to-date project focus. </w:t>
      </w:r>
    </w:p>
    <w:p w14:paraId="58D627F5" w14:textId="77777777" w:rsidR="00340868" w:rsidRPr="00340868" w:rsidRDefault="00340868">
      <w:pPr>
        <w:rPr>
          <w:sz w:val="12"/>
          <w:szCs w:val="12"/>
        </w:rPr>
      </w:pPr>
    </w:p>
    <w:p w14:paraId="7B52BD8C" w14:textId="2C252AF4" w:rsidR="00801974" w:rsidRDefault="00B45F98">
      <w:r w:rsidRPr="00B45F98">
        <w:rPr>
          <w:b/>
          <w:bCs/>
        </w:rPr>
        <w:t>Budget</w:t>
      </w:r>
      <w:r w:rsidR="0046076F">
        <w:rPr>
          <w:b/>
          <w:bCs/>
        </w:rPr>
        <w:t xml:space="preserve"> Needs</w:t>
      </w:r>
      <w:r w:rsidRPr="00B45F98">
        <w:rPr>
          <w:b/>
          <w:bCs/>
        </w:rPr>
        <w:t xml:space="preserve"> / Industry Standard</w:t>
      </w:r>
      <w:r>
        <w:t xml:space="preserve">: </w:t>
      </w:r>
      <w:r w:rsidR="00801974">
        <w:t xml:space="preserve">The </w:t>
      </w:r>
      <w:r w:rsidR="001B4321">
        <w:t>EA and Evalu</w:t>
      </w:r>
      <w:r w:rsidR="006B1B10">
        <w:t>a</w:t>
      </w:r>
      <w:r w:rsidR="001B4321">
        <w:t xml:space="preserve">tion Committee are recommending an Evaluation Plan budget that is significantly higher than in the past.  </w:t>
      </w:r>
      <w:r w:rsidR="0046076F">
        <w:t>Energy efficiency needs in the State are changing, and s</w:t>
      </w:r>
      <w:r w:rsidR="0046076F" w:rsidRPr="007019FD">
        <w:t>takeholder</w:t>
      </w:r>
      <w:r w:rsidR="0046076F">
        <w:t>s</w:t>
      </w:r>
      <w:r w:rsidR="0046076F" w:rsidRPr="007019FD">
        <w:t xml:space="preserve"> expressed </w:t>
      </w:r>
      <w:r w:rsidR="0046076F">
        <w:t xml:space="preserve">increasing </w:t>
      </w:r>
      <w:r w:rsidR="0046076F" w:rsidRPr="007019FD">
        <w:t>need for focus on substantive, forward-looking topics</w:t>
      </w:r>
      <w:r w:rsidR="0046076F">
        <w:t xml:space="preserve">.  This necessitated consideration of changes in </w:t>
      </w:r>
      <w:r w:rsidR="0046076F" w:rsidRPr="007019FD">
        <w:t>evaluation range and budget</w:t>
      </w:r>
      <w:r w:rsidR="0046076F">
        <w:t xml:space="preserve">s.  In addition, </w:t>
      </w:r>
      <w:r w:rsidR="001B4321">
        <w:t xml:space="preserve">Evaluation study budgets as a share of C&amp;LM plan and program budgets </w:t>
      </w:r>
      <w:r w:rsidR="006B1B10">
        <w:t xml:space="preserve">in CT </w:t>
      </w:r>
      <w:r w:rsidR="001B4321">
        <w:t xml:space="preserve">had decreased from 2.1% (2012) to less than 1.1% (2020), and studies by national organizations (E-Source) indicated </w:t>
      </w:r>
      <w:r w:rsidR="006B1B10">
        <w:t xml:space="preserve">industry standard is </w:t>
      </w:r>
      <w:r w:rsidR="001B4321">
        <w:t>2-2.5%.  EA met with the C&amp;LM planners to r</w:t>
      </w:r>
      <w:r w:rsidR="006B1B10">
        <w:t>e</w:t>
      </w:r>
      <w:r w:rsidR="001B4321">
        <w:t xml:space="preserve">commend </w:t>
      </w:r>
      <w:r w:rsidR="006B1B10">
        <w:t xml:space="preserve">a </w:t>
      </w:r>
      <w:r w:rsidR="0046076F">
        <w:t>substantial increase</w:t>
      </w:r>
      <w:r w:rsidR="006B1B10">
        <w:t>, to bring the state to standard</w:t>
      </w:r>
      <w:r w:rsidR="0046076F">
        <w:t xml:space="preserve"> and address increased needs</w:t>
      </w:r>
      <w:r w:rsidR="006B1B10">
        <w:t>.  EA team budgets increase 70% with doubling of study budgets (recognizing fixed costs).</w:t>
      </w:r>
    </w:p>
    <w:p w14:paraId="4DF9628F" w14:textId="77777777" w:rsidR="00340868" w:rsidRPr="00340868" w:rsidRDefault="00340868">
      <w:pPr>
        <w:rPr>
          <w:b/>
          <w:bCs/>
          <w:sz w:val="10"/>
          <w:szCs w:val="10"/>
        </w:rPr>
      </w:pPr>
    </w:p>
    <w:p w14:paraId="1E19E815" w14:textId="12ED59A2" w:rsidR="00801974" w:rsidRDefault="00B45F98">
      <w:r w:rsidRPr="00B45F98">
        <w:rPr>
          <w:b/>
          <w:bCs/>
        </w:rPr>
        <w:lastRenderedPageBreak/>
        <w:t>Study Range</w:t>
      </w:r>
      <w:r>
        <w:t>:</w:t>
      </w:r>
      <w:r w:rsidR="006B1B10">
        <w:t xml:space="preserve"> For budget and </w:t>
      </w:r>
      <w:r w:rsidR="00427D25">
        <w:t>other</w:t>
      </w:r>
      <w:r w:rsidR="006B1B10">
        <w:t xml:space="preserve"> reasons, </w:t>
      </w:r>
      <w:r w:rsidR="00427D25">
        <w:t>Evaluation</w:t>
      </w:r>
      <w:r w:rsidR="006B1B10">
        <w:t xml:space="preserve"> had largely focused on basic impact/process studies</w:t>
      </w:r>
      <w:r w:rsidR="00A452D1">
        <w:t xml:space="preserve">, and projects were </w:t>
      </w:r>
      <w:r w:rsidR="00427D25">
        <w:t>hampered</w:t>
      </w:r>
      <w:r w:rsidR="00A452D1">
        <w:t xml:space="preserve"> by small </w:t>
      </w:r>
      <w:r w:rsidR="00427D25">
        <w:t>sample</w:t>
      </w:r>
      <w:r w:rsidR="00A452D1">
        <w:t xml:space="preserve"> sizes and disappoint</w:t>
      </w:r>
      <w:r w:rsidR="00427D25">
        <w:t>ing</w:t>
      </w:r>
      <w:r w:rsidR="00A452D1">
        <w:t>ly narrow scopes</w:t>
      </w:r>
      <w:r w:rsidR="006B1B10">
        <w:t xml:space="preserve">.  EE is </w:t>
      </w:r>
      <w:r w:rsidR="00A452D1">
        <w:t xml:space="preserve">now </w:t>
      </w:r>
      <w:r w:rsidR="006B1B10">
        <w:t xml:space="preserve">changing rapidly, nationally and in CT (decline of lighting, GHG focus, electrification, DEI, policy and “next directions”), so static </w:t>
      </w:r>
      <w:r w:rsidR="00427D25">
        <w:t>evaluations</w:t>
      </w:r>
      <w:r w:rsidR="006B1B10">
        <w:t xml:space="preserve"> of generations of the same programs do not well-inform next programs, next </w:t>
      </w:r>
      <w:r w:rsidR="00427D25">
        <w:t>measures</w:t>
      </w:r>
      <w:r w:rsidR="006B1B10">
        <w:t xml:space="preserve">, </w:t>
      </w:r>
      <w:r w:rsidR="00427D25">
        <w:t>next</w:t>
      </w:r>
      <w:r w:rsidR="006B1B10">
        <w:t xml:space="preserve"> issues, or performance of new initiatives</w:t>
      </w:r>
      <w:r w:rsidR="00A452D1">
        <w:t xml:space="preserve"> in CT</w:t>
      </w:r>
      <w:r w:rsidR="006B1B10">
        <w:t xml:space="preserve">.  The </w:t>
      </w:r>
      <w:r w:rsidR="00427D25">
        <w:t>interactive</w:t>
      </w:r>
      <w:r w:rsidR="006B1B10">
        <w:t xml:space="preserve"> </w:t>
      </w:r>
      <w:r w:rsidR="00427D25">
        <w:t>Evaluation</w:t>
      </w:r>
      <w:r w:rsidR="006B1B10">
        <w:t xml:space="preserve"> Plan </w:t>
      </w:r>
      <w:r w:rsidR="00427D25">
        <w:t>development</w:t>
      </w:r>
      <w:r w:rsidR="006B1B10">
        <w:t xml:space="preserve"> </w:t>
      </w:r>
      <w:r w:rsidR="00A452D1">
        <w:t xml:space="preserve">process received dozens of needed study concepts beyond the same old.  </w:t>
      </w:r>
      <w:r w:rsidR="006B1B10">
        <w:t>The additional budget</w:t>
      </w:r>
      <w:r w:rsidR="00A452D1">
        <w:t xml:space="preserve"> funds:</w:t>
      </w:r>
    </w:p>
    <w:p w14:paraId="25F418B6" w14:textId="27FD0738" w:rsidR="00A452D1" w:rsidRDefault="00A452D1" w:rsidP="00A452D1">
      <w:pPr>
        <w:pStyle w:val="ListParagraph"/>
        <w:numPr>
          <w:ilvl w:val="0"/>
          <w:numId w:val="31"/>
        </w:numPr>
      </w:pPr>
      <w:r>
        <w:t xml:space="preserve">Larger sample sizes, allowing results by </w:t>
      </w:r>
      <w:r w:rsidR="00427D25">
        <w:t>subpopulation</w:t>
      </w:r>
      <w:r>
        <w:t xml:space="preserve"> (customer group, end-uses, territory, DEI)</w:t>
      </w:r>
    </w:p>
    <w:p w14:paraId="67B61671" w14:textId="025F8995" w:rsidR="00551DC0" w:rsidRDefault="00A452D1" w:rsidP="004D6112">
      <w:pPr>
        <w:pStyle w:val="ListParagraph"/>
        <w:numPr>
          <w:ilvl w:val="0"/>
          <w:numId w:val="31"/>
        </w:numPr>
      </w:pPr>
      <w:r>
        <w:t xml:space="preserve">Long-needed </w:t>
      </w:r>
      <w:r w:rsidR="00427D25">
        <w:t>baseline</w:t>
      </w:r>
      <w:r>
        <w:t xml:space="preserve"> and saturation studies, with flexible databases for planning &amp; needs </w:t>
      </w:r>
    </w:p>
    <w:p w14:paraId="0F5B9E34" w14:textId="2CF1706C" w:rsidR="00A452D1" w:rsidRDefault="00551DC0" w:rsidP="00551DC0">
      <w:pPr>
        <w:pStyle w:val="ListParagraph"/>
        <w:numPr>
          <w:ilvl w:val="0"/>
          <w:numId w:val="31"/>
        </w:numPr>
      </w:pPr>
      <w:r>
        <w:t xml:space="preserve">Studies providing </w:t>
      </w:r>
      <w:r w:rsidR="00A452D1">
        <w:t xml:space="preserve">market understanding, and Industry Standard </w:t>
      </w:r>
      <w:r w:rsidR="00427D25">
        <w:t>Practices</w:t>
      </w:r>
      <w:r w:rsidR="00A452D1">
        <w:t xml:space="preserve"> (ISP) </w:t>
      </w:r>
      <w:r>
        <w:t>for savings estimates reflecting real-world baselines and potential.</w:t>
      </w:r>
    </w:p>
    <w:p w14:paraId="141DA98D" w14:textId="1FB7209F" w:rsidR="00551DC0" w:rsidRDefault="00340868" w:rsidP="00551DC0">
      <w:pPr>
        <w:pStyle w:val="ListParagraph"/>
        <w:numPr>
          <w:ilvl w:val="0"/>
          <w:numId w:val="31"/>
        </w:numPr>
      </w:pPr>
      <w:r>
        <w:t xml:space="preserve">And most importantly, an array of </w:t>
      </w:r>
      <w:r w:rsidR="00551DC0">
        <w:t xml:space="preserve">Topic studies related to: </w:t>
      </w:r>
    </w:p>
    <w:p w14:paraId="19E90F20" w14:textId="78D9D199" w:rsidR="00551DC0" w:rsidRDefault="00551DC0" w:rsidP="00551DC0">
      <w:pPr>
        <w:pStyle w:val="ListParagraph"/>
        <w:numPr>
          <w:ilvl w:val="1"/>
          <w:numId w:val="31"/>
        </w:numPr>
      </w:pPr>
      <w:r>
        <w:t xml:space="preserve">best practices; potential of </w:t>
      </w:r>
      <w:r w:rsidR="00427D25">
        <w:t>new</w:t>
      </w:r>
      <w:r>
        <w:t xml:space="preserve"> programs and next measures; field studies for PSD and </w:t>
      </w:r>
      <w:r w:rsidR="00427D25">
        <w:t>potential</w:t>
      </w:r>
      <w:r>
        <w:t xml:space="preserve"> information; </w:t>
      </w:r>
      <w:r w:rsidR="00427D25">
        <w:t>opportunities</w:t>
      </w:r>
      <w:r>
        <w:t xml:space="preserve"> for mor joint studies;</w:t>
      </w:r>
    </w:p>
    <w:p w14:paraId="79807D0D" w14:textId="018FD66A" w:rsidR="00551DC0" w:rsidRDefault="00551DC0" w:rsidP="00551DC0">
      <w:pPr>
        <w:pStyle w:val="ListParagraph"/>
        <w:numPr>
          <w:ilvl w:val="1"/>
          <w:numId w:val="31"/>
        </w:numPr>
      </w:pPr>
      <w:r>
        <w:t xml:space="preserve">important issues including HP, electrification, </w:t>
      </w:r>
      <w:r w:rsidR="00427D25">
        <w:t>treatment</w:t>
      </w:r>
      <w:r w:rsidR="002977F6">
        <w:t xml:space="preserve"> of gas, </w:t>
      </w:r>
      <w:r>
        <w:t>new measures, H&amp;S, equity studies, weatherization and barriers (</w:t>
      </w:r>
      <w:r w:rsidR="00427D25">
        <w:t>residential</w:t>
      </w:r>
      <w:r>
        <w:t xml:space="preserve"> and C&amp;I),</w:t>
      </w:r>
    </w:p>
    <w:p w14:paraId="60E95499" w14:textId="47B99B0E" w:rsidR="00551DC0" w:rsidRDefault="00551DC0" w:rsidP="00551DC0">
      <w:pPr>
        <w:pStyle w:val="ListParagraph"/>
        <w:numPr>
          <w:ilvl w:val="1"/>
          <w:numId w:val="31"/>
        </w:numPr>
      </w:pPr>
      <w:r>
        <w:t xml:space="preserve">practical </w:t>
      </w:r>
      <w:r w:rsidR="00427D25">
        <w:t>topics</w:t>
      </w:r>
      <w:r>
        <w:t xml:space="preserve"> on data </w:t>
      </w:r>
      <w:r w:rsidR="002977F6">
        <w:t>and evaluability.</w:t>
      </w:r>
      <w:r>
        <w:t xml:space="preserve"> </w:t>
      </w:r>
    </w:p>
    <w:p w14:paraId="02BDE3A2" w14:textId="77777777" w:rsidR="00340868" w:rsidRPr="00340868" w:rsidRDefault="00340868" w:rsidP="00340868">
      <w:pPr>
        <w:rPr>
          <w:sz w:val="12"/>
          <w:szCs w:val="12"/>
        </w:rPr>
      </w:pPr>
    </w:p>
    <w:p w14:paraId="0B8F0D09" w14:textId="65B8CB43" w:rsidR="00B45F98" w:rsidRDefault="00B45F98">
      <w:r w:rsidRPr="00B45F98">
        <w:rPr>
          <w:b/>
          <w:bCs/>
        </w:rPr>
        <w:t>Study List</w:t>
      </w:r>
      <w:r>
        <w:t>:</w:t>
      </w:r>
      <w:r w:rsidR="00A452D1">
        <w:t xml:space="preserve"> The </w:t>
      </w:r>
      <w:r w:rsidR="006803DE">
        <w:t xml:space="preserve">allocation </w:t>
      </w:r>
      <w:r w:rsidR="0079026B">
        <w:t xml:space="preserve">of studies by subcategories, and the </w:t>
      </w:r>
      <w:r w:rsidR="00A452D1">
        <w:t xml:space="preserve">study list, sorted by </w:t>
      </w:r>
      <w:r w:rsidR="00427D25">
        <w:t>type</w:t>
      </w:r>
      <w:r w:rsidR="00A452D1">
        <w:t xml:space="preserve">, </w:t>
      </w:r>
      <w:r w:rsidR="00427D25">
        <w:t>are included</w:t>
      </w:r>
      <w:r w:rsidR="00A452D1">
        <w:t xml:space="preserve"> in the </w:t>
      </w:r>
      <w:r w:rsidR="00427D25">
        <w:t>Evaluation</w:t>
      </w:r>
      <w:r w:rsidR="00A452D1">
        <w:t xml:space="preserve"> Plan and </w:t>
      </w:r>
      <w:r w:rsidR="006803DE">
        <w:t xml:space="preserve">also </w:t>
      </w:r>
      <w:r w:rsidR="00A452D1">
        <w:t>attached here.</w:t>
      </w:r>
    </w:p>
    <w:p w14:paraId="6BF7A1DA" w14:textId="41EDD077" w:rsidR="0079026B" w:rsidRDefault="0079026B"/>
    <w:tbl>
      <w:tblPr>
        <w:tblStyle w:val="TableGrid"/>
        <w:tblW w:w="10435" w:type="dxa"/>
        <w:tblInd w:w="-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5"/>
        <w:gridCol w:w="4950"/>
      </w:tblGrid>
      <w:tr w:rsidR="006803DE" w14:paraId="07B2F81A" w14:textId="77777777" w:rsidTr="00DE6E60">
        <w:tc>
          <w:tcPr>
            <w:tcW w:w="5485" w:type="dxa"/>
          </w:tcPr>
          <w:p w14:paraId="52977FD3" w14:textId="293A7A20" w:rsidR="006803DE" w:rsidRDefault="006803DE">
            <w:r w:rsidRPr="006803DE">
              <w:rPr>
                <w:noProof/>
              </w:rPr>
              <w:drawing>
                <wp:inline distT="0" distB="0" distL="0" distR="0" wp14:anchorId="4DDDF31B" wp14:editId="08C42FAE">
                  <wp:extent cx="4765158" cy="14160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485" cy="142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0" w:type="dxa"/>
          </w:tcPr>
          <w:p w14:paraId="5498B62F" w14:textId="7461D461" w:rsidR="006803DE" w:rsidRDefault="006803DE">
            <w:r w:rsidRPr="006803DE">
              <w:rPr>
                <w:noProof/>
              </w:rPr>
              <w:drawing>
                <wp:inline distT="0" distB="0" distL="0" distR="0" wp14:anchorId="530116A9" wp14:editId="679CD6DA">
                  <wp:extent cx="5226025" cy="14065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1441" cy="1410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0FA17D" w14:textId="06B6856A" w:rsidR="006803DE" w:rsidRPr="006803DE" w:rsidRDefault="006803DE">
            <w:pPr>
              <w:rPr>
                <w:b/>
                <w:bCs/>
                <w:i/>
                <w:iCs/>
                <w:sz w:val="14"/>
                <w:szCs w:val="14"/>
              </w:rPr>
            </w:pPr>
            <w:r w:rsidRPr="006803DE"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</w:rPr>
              <w:t>(**) Table Note: $5.025* is the budget for impact if we include the 2</w:t>
            </w:r>
            <w:r w:rsidRPr="006803DE"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vertAlign w:val="superscript"/>
              </w:rPr>
              <w:t>nd</w:t>
            </w:r>
            <w:r w:rsidRPr="006803DE"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</w:rPr>
              <w:t xml:space="preserve"> half of two large C&amp;I impact studies, which carry over to 2025, per FCM timing needs). That budget is not in this plan.</w:t>
            </w:r>
          </w:p>
        </w:tc>
      </w:tr>
    </w:tbl>
    <w:p w14:paraId="687B0DBB" w14:textId="57BC687A" w:rsidR="0079026B" w:rsidRPr="00DE6E60" w:rsidRDefault="00DE6E60" w:rsidP="00DE6E60">
      <w:pPr>
        <w:rPr>
          <w:b/>
          <w:bCs/>
          <w:sz w:val="18"/>
          <w:szCs w:val="18"/>
        </w:rPr>
      </w:pPr>
      <w:r w:rsidRPr="00DE6E60">
        <w:rPr>
          <w:b/>
          <w:bCs/>
          <w:sz w:val="18"/>
          <w:szCs w:val="18"/>
        </w:rPr>
        <w:t>Figure A3: Evaluation Study List by type, with Budget and Start Year</w:t>
      </w:r>
      <w:r w:rsidR="00B17B52">
        <w:rPr>
          <w:b/>
          <w:bCs/>
          <w:sz w:val="18"/>
          <w:szCs w:val="18"/>
        </w:rPr>
        <w:t xml:space="preserve"> </w:t>
      </w:r>
      <w:r w:rsidR="00B17B52" w:rsidRPr="00B17B52">
        <w:rPr>
          <w:sz w:val="14"/>
          <w:szCs w:val="14"/>
        </w:rPr>
        <w:t>(grey indicates only part of the total budget is spent in 2022-24 period)</w:t>
      </w:r>
    </w:p>
    <w:tbl>
      <w:tblPr>
        <w:tblStyle w:val="TableGrid"/>
        <w:tblW w:w="11160" w:type="dxa"/>
        <w:tblInd w:w="-7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1"/>
        <w:gridCol w:w="5740"/>
      </w:tblGrid>
      <w:tr w:rsidR="00DE6E60" w:rsidRPr="00DE6E60" w14:paraId="7BB4DFB7" w14:textId="77777777" w:rsidTr="00A44946">
        <w:tc>
          <w:tcPr>
            <w:tcW w:w="5538" w:type="dxa"/>
          </w:tcPr>
          <w:p w14:paraId="23484226" w14:textId="2E0E5226" w:rsidR="0079026B" w:rsidRPr="00DE6E60" w:rsidRDefault="00A44946">
            <w:pPr>
              <w:rPr>
                <w:sz w:val="18"/>
                <w:szCs w:val="18"/>
              </w:rPr>
            </w:pPr>
            <w:r w:rsidRPr="00A44946">
              <w:rPr>
                <w:noProof/>
              </w:rPr>
              <w:drawing>
                <wp:inline distT="0" distB="0" distL="0" distR="0" wp14:anchorId="7672471B" wp14:editId="06662932">
                  <wp:extent cx="3400425" cy="2667377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0051" cy="2674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22" w:type="dxa"/>
          </w:tcPr>
          <w:p w14:paraId="261E83D9" w14:textId="30705D55" w:rsidR="0079026B" w:rsidRPr="00DE6E60" w:rsidRDefault="00A44946">
            <w:pPr>
              <w:rPr>
                <w:sz w:val="18"/>
                <w:szCs w:val="18"/>
              </w:rPr>
            </w:pPr>
            <w:r w:rsidRPr="00A44946">
              <w:rPr>
                <w:noProof/>
              </w:rPr>
              <w:drawing>
                <wp:inline distT="0" distB="0" distL="0" distR="0" wp14:anchorId="61B9506E" wp14:editId="2B708696">
                  <wp:extent cx="3507989" cy="267652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3569" cy="2680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09FE7C" w14:textId="16E7F1C6" w:rsidR="00340868" w:rsidRDefault="00340868" w:rsidP="00A44946"/>
    <w:sectPr w:rsidR="00340868" w:rsidSect="0046076F">
      <w:pgSz w:w="12240" w:h="15840"/>
      <w:pgMar w:top="144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0A070" w14:textId="77777777" w:rsidR="00B150AA" w:rsidRDefault="00B150AA" w:rsidP="00F24F15">
      <w:r>
        <w:separator/>
      </w:r>
    </w:p>
  </w:endnote>
  <w:endnote w:type="continuationSeparator" w:id="0">
    <w:p w14:paraId="6E26C4E7" w14:textId="77777777" w:rsidR="00B150AA" w:rsidRDefault="00B150AA" w:rsidP="00F24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43C3B" w14:textId="77777777" w:rsidR="00B150AA" w:rsidRDefault="00B150AA" w:rsidP="00F24F15">
      <w:r>
        <w:separator/>
      </w:r>
    </w:p>
  </w:footnote>
  <w:footnote w:type="continuationSeparator" w:id="0">
    <w:p w14:paraId="18A6621E" w14:textId="77777777" w:rsidR="00B150AA" w:rsidRDefault="00B150AA" w:rsidP="00F24F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AD4E1A"/>
    <w:multiLevelType w:val="hybridMultilevel"/>
    <w:tmpl w:val="0AD63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05D038C"/>
    <w:multiLevelType w:val="hybridMultilevel"/>
    <w:tmpl w:val="79ECD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1B7165E8"/>
    <w:multiLevelType w:val="hybridMultilevel"/>
    <w:tmpl w:val="40C8A438"/>
    <w:lvl w:ilvl="0" w:tplc="D2BC32DE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03E6FAB"/>
    <w:multiLevelType w:val="hybridMultilevel"/>
    <w:tmpl w:val="AA749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42921512"/>
    <w:multiLevelType w:val="hybridMultilevel"/>
    <w:tmpl w:val="092C6022"/>
    <w:lvl w:ilvl="0" w:tplc="623C02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704E7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3C174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5601D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8E4756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C6017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B4D08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78F72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A6B8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61A26D2"/>
    <w:multiLevelType w:val="hybridMultilevel"/>
    <w:tmpl w:val="02CCA25A"/>
    <w:lvl w:ilvl="0" w:tplc="E4BA378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FCED7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3CC3EE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E81E9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5CFE4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50695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9A344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094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242E9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EF61646"/>
    <w:multiLevelType w:val="hybridMultilevel"/>
    <w:tmpl w:val="7B1692F0"/>
    <w:lvl w:ilvl="0" w:tplc="6DA6F46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34DB4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7E812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14897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6ADA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2EA4B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5AB97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1C733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9E204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311546"/>
    <w:multiLevelType w:val="hybridMultilevel"/>
    <w:tmpl w:val="99FE4CCE"/>
    <w:lvl w:ilvl="0" w:tplc="FCC4AB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BAB40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3AC96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462EB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82B64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20858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E4D25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24321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1036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5"/>
  </w:num>
  <w:num w:numId="2">
    <w:abstractNumId w:val="13"/>
  </w:num>
  <w:num w:numId="3">
    <w:abstractNumId w:val="11"/>
  </w:num>
  <w:num w:numId="4">
    <w:abstractNumId w:val="27"/>
  </w:num>
  <w:num w:numId="5">
    <w:abstractNumId w:val="15"/>
  </w:num>
  <w:num w:numId="6">
    <w:abstractNumId w:val="20"/>
  </w:num>
  <w:num w:numId="7">
    <w:abstractNumId w:val="24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7"/>
  </w:num>
  <w:num w:numId="19">
    <w:abstractNumId w:val="18"/>
  </w:num>
  <w:num w:numId="20">
    <w:abstractNumId w:val="26"/>
  </w:num>
  <w:num w:numId="21">
    <w:abstractNumId w:val="22"/>
  </w:num>
  <w:num w:numId="22">
    <w:abstractNumId w:val="12"/>
  </w:num>
  <w:num w:numId="23">
    <w:abstractNumId w:val="30"/>
  </w:num>
  <w:num w:numId="24">
    <w:abstractNumId w:val="23"/>
  </w:num>
  <w:num w:numId="25">
    <w:abstractNumId w:val="21"/>
  </w:num>
  <w:num w:numId="26">
    <w:abstractNumId w:val="28"/>
  </w:num>
  <w:num w:numId="27">
    <w:abstractNumId w:val="29"/>
  </w:num>
  <w:num w:numId="28">
    <w:abstractNumId w:val="14"/>
  </w:num>
  <w:num w:numId="29">
    <w:abstractNumId w:val="19"/>
  </w:num>
  <w:num w:numId="30">
    <w:abstractNumId w:val="10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F15"/>
    <w:rsid w:val="00061C67"/>
    <w:rsid w:val="001B4321"/>
    <w:rsid w:val="002977F6"/>
    <w:rsid w:val="00340868"/>
    <w:rsid w:val="00427D25"/>
    <w:rsid w:val="0046076F"/>
    <w:rsid w:val="00542FB7"/>
    <w:rsid w:val="00551DC0"/>
    <w:rsid w:val="005D4266"/>
    <w:rsid w:val="00600579"/>
    <w:rsid w:val="00645252"/>
    <w:rsid w:val="006803DE"/>
    <w:rsid w:val="00696B12"/>
    <w:rsid w:val="006B1B10"/>
    <w:rsid w:val="006D3D74"/>
    <w:rsid w:val="0079026B"/>
    <w:rsid w:val="00801974"/>
    <w:rsid w:val="0083569A"/>
    <w:rsid w:val="00875CB3"/>
    <w:rsid w:val="00A44946"/>
    <w:rsid w:val="00A452D1"/>
    <w:rsid w:val="00A530AF"/>
    <w:rsid w:val="00A9204E"/>
    <w:rsid w:val="00B150AA"/>
    <w:rsid w:val="00B17B52"/>
    <w:rsid w:val="00B45F98"/>
    <w:rsid w:val="00D83CD3"/>
    <w:rsid w:val="00DE6E60"/>
    <w:rsid w:val="00F24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13132"/>
  <w15:chartTrackingRefBased/>
  <w15:docId w15:val="{6F5A047A-1C9C-4D0F-973C-7E2BFD341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  <w:style w:type="paragraph" w:styleId="ListParagraph">
    <w:name w:val="List Paragraph"/>
    <w:basedOn w:val="Normal"/>
    <w:uiPriority w:val="34"/>
    <w:qFormat/>
    <w:rsid w:val="00F24F15"/>
    <w:pPr>
      <w:spacing w:after="160" w:line="259" w:lineRule="auto"/>
      <w:ind w:left="720"/>
      <w:contextualSpacing/>
    </w:pPr>
  </w:style>
  <w:style w:type="character" w:styleId="FootnoteReference">
    <w:name w:val="footnote reference"/>
    <w:basedOn w:val="DefaultParagraphFont"/>
    <w:uiPriority w:val="99"/>
    <w:semiHidden/>
    <w:unhideWhenUsed/>
    <w:rsid w:val="00F24F15"/>
    <w:rPr>
      <w:vertAlign w:val="superscript"/>
    </w:rPr>
  </w:style>
  <w:style w:type="table" w:styleId="TableGrid">
    <w:name w:val="Table Grid"/>
    <w:basedOn w:val="TableNormal"/>
    <w:uiPriority w:val="39"/>
    <w:rsid w:val="00542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9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313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859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559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9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76609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4735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605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kumatz\AppData\Local\Packages\Microsoft.Office.Desktop_8wekyb3d8bbwe\LocalCache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3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1</TotalTime>
  <Pages>2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Skumatz</dc:creator>
  <cp:keywords/>
  <dc:description/>
  <cp:lastModifiedBy>Lisa Skumatz</cp:lastModifiedBy>
  <cp:revision>2</cp:revision>
  <cp:lastPrinted>2022-01-10T05:58:00Z</cp:lastPrinted>
  <dcterms:created xsi:type="dcterms:W3CDTF">2022-01-10T10:39:00Z</dcterms:created>
  <dcterms:modified xsi:type="dcterms:W3CDTF">2022-01-10T10:39:00Z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