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6F3C3" w14:textId="77777777" w:rsidR="004E7611" w:rsidRDefault="004E7611" w:rsidP="00B33D80">
      <w:pPr>
        <w:spacing w:after="0"/>
      </w:pPr>
    </w:p>
    <w:p w14:paraId="6EC25B7A" w14:textId="77777777" w:rsidR="004E7611" w:rsidRDefault="004E7611" w:rsidP="00B33D80">
      <w:pPr>
        <w:spacing w:after="0"/>
      </w:pPr>
    </w:p>
    <w:p w14:paraId="313C36C8" w14:textId="77777777" w:rsidR="004E7611" w:rsidRDefault="004E7611" w:rsidP="00B33D80">
      <w:pPr>
        <w:spacing w:after="0"/>
      </w:pPr>
    </w:p>
    <w:p w14:paraId="6E0E5A04" w14:textId="77777777" w:rsidR="004E7611" w:rsidRDefault="004E7611" w:rsidP="00B33D80">
      <w:pPr>
        <w:spacing w:after="0"/>
      </w:pPr>
    </w:p>
    <w:p w14:paraId="37A0309B" w14:textId="77777777" w:rsidR="004E7611" w:rsidRDefault="004E7611" w:rsidP="00B33D80">
      <w:pPr>
        <w:spacing w:after="0"/>
      </w:pPr>
    </w:p>
    <w:p w14:paraId="17758C8B" w14:textId="77777777" w:rsidR="004E7611" w:rsidRDefault="004E7611" w:rsidP="00B33D80">
      <w:pPr>
        <w:spacing w:after="0"/>
      </w:pPr>
    </w:p>
    <w:p w14:paraId="139D68FF" w14:textId="77777777" w:rsidR="004E7611" w:rsidRDefault="004E7611" w:rsidP="00B33D80">
      <w:pPr>
        <w:spacing w:after="0"/>
      </w:pPr>
    </w:p>
    <w:p w14:paraId="18D1B077" w14:textId="77777777" w:rsidR="004E7611" w:rsidRPr="00654CF7" w:rsidRDefault="004E7611" w:rsidP="00B33D80">
      <w:pPr>
        <w:spacing w:after="0"/>
        <w:jc w:val="right"/>
        <w:rPr>
          <w:sz w:val="28"/>
        </w:rPr>
      </w:pPr>
    </w:p>
    <w:p w14:paraId="3F6B970D" w14:textId="2B82368B" w:rsidR="008B5D51" w:rsidRPr="00654CF7" w:rsidRDefault="004E7611" w:rsidP="0081770D">
      <w:pPr>
        <w:spacing w:after="0"/>
        <w:jc w:val="right"/>
        <w:rPr>
          <w:b/>
          <w:i/>
          <w:sz w:val="48"/>
        </w:rPr>
      </w:pPr>
      <w:r w:rsidRPr="00654CF7">
        <w:rPr>
          <w:b/>
          <w:i/>
          <w:sz w:val="48"/>
        </w:rPr>
        <w:t>201</w:t>
      </w:r>
      <w:r w:rsidR="008B5D51" w:rsidRPr="00654CF7">
        <w:rPr>
          <w:b/>
          <w:i/>
          <w:sz w:val="48"/>
        </w:rPr>
        <w:t>9</w:t>
      </w:r>
      <w:r w:rsidRPr="00654CF7">
        <w:rPr>
          <w:b/>
          <w:i/>
          <w:sz w:val="48"/>
        </w:rPr>
        <w:t>-</w:t>
      </w:r>
      <w:r w:rsidR="008B5D51" w:rsidRPr="00654CF7">
        <w:rPr>
          <w:b/>
          <w:i/>
          <w:sz w:val="48"/>
        </w:rPr>
        <w:t>21</w:t>
      </w:r>
      <w:r w:rsidRPr="00654CF7">
        <w:rPr>
          <w:b/>
          <w:i/>
          <w:sz w:val="48"/>
        </w:rPr>
        <w:t xml:space="preserve"> </w:t>
      </w:r>
      <w:r w:rsidR="0081770D" w:rsidRPr="00654CF7">
        <w:rPr>
          <w:b/>
          <w:i/>
          <w:sz w:val="48"/>
        </w:rPr>
        <w:t xml:space="preserve">EEB THREE YEAR </w:t>
      </w:r>
      <w:r w:rsidRPr="00654CF7">
        <w:rPr>
          <w:b/>
          <w:i/>
          <w:sz w:val="48"/>
        </w:rPr>
        <w:t xml:space="preserve">EVALUATION </w:t>
      </w:r>
      <w:r w:rsidR="0081770D" w:rsidRPr="00654CF7">
        <w:rPr>
          <w:b/>
          <w:i/>
          <w:sz w:val="48"/>
        </w:rPr>
        <w:t>BUDGET &amp; PLAN</w:t>
      </w:r>
      <w:r w:rsidR="00B629E5">
        <w:rPr>
          <w:b/>
          <w:i/>
          <w:sz w:val="48"/>
        </w:rPr>
        <w:t xml:space="preserve"> – 202</w:t>
      </w:r>
      <w:r w:rsidR="00BF06F8">
        <w:rPr>
          <w:b/>
          <w:i/>
          <w:sz w:val="48"/>
        </w:rPr>
        <w:t>1</w:t>
      </w:r>
      <w:r w:rsidR="00B629E5">
        <w:rPr>
          <w:b/>
          <w:i/>
          <w:sz w:val="48"/>
        </w:rPr>
        <w:t xml:space="preserve"> UPDATE</w:t>
      </w:r>
      <w:r w:rsidR="008B5D51" w:rsidRPr="00654CF7">
        <w:rPr>
          <w:b/>
          <w:i/>
          <w:sz w:val="48"/>
        </w:rPr>
        <w:t xml:space="preserve"> </w:t>
      </w:r>
    </w:p>
    <w:p w14:paraId="1D8EB50D" w14:textId="77777777" w:rsidR="0081770D" w:rsidRDefault="0081770D" w:rsidP="0081770D">
      <w:pPr>
        <w:spacing w:after="0"/>
        <w:jc w:val="right"/>
        <w:rPr>
          <w:b/>
          <w:i/>
          <w:sz w:val="40"/>
        </w:rPr>
      </w:pPr>
    </w:p>
    <w:p w14:paraId="06C479B6" w14:textId="77777777" w:rsidR="0081770D" w:rsidRDefault="0081770D" w:rsidP="0081770D">
      <w:pPr>
        <w:spacing w:after="0"/>
        <w:jc w:val="right"/>
        <w:rPr>
          <w:b/>
          <w:i/>
          <w:sz w:val="40"/>
        </w:rPr>
      </w:pPr>
    </w:p>
    <w:p w14:paraId="37986985" w14:textId="06A709A2" w:rsidR="00B97DB9" w:rsidRDefault="00B962C0" w:rsidP="00B33D80">
      <w:pPr>
        <w:spacing w:after="0"/>
        <w:jc w:val="right"/>
        <w:rPr>
          <w:b/>
          <w:i/>
          <w:sz w:val="36"/>
        </w:rPr>
      </w:pPr>
      <w:r>
        <w:rPr>
          <w:b/>
          <w:i/>
          <w:sz w:val="36"/>
        </w:rPr>
        <w:t>FINAL</w:t>
      </w:r>
      <w:r w:rsidR="00B24DCA">
        <w:rPr>
          <w:b/>
          <w:i/>
          <w:sz w:val="36"/>
        </w:rPr>
        <w:t xml:space="preserve"> APPROVED PLAN</w:t>
      </w:r>
    </w:p>
    <w:p w14:paraId="5941E07A" w14:textId="77777777" w:rsidR="004E7611" w:rsidRDefault="004E7611" w:rsidP="00B33D80">
      <w:pPr>
        <w:spacing w:after="0"/>
        <w:jc w:val="right"/>
      </w:pPr>
    </w:p>
    <w:p w14:paraId="4F4D811C" w14:textId="77777777" w:rsidR="004E7611" w:rsidRDefault="004E7611" w:rsidP="00B33D80">
      <w:pPr>
        <w:spacing w:after="0"/>
        <w:jc w:val="right"/>
      </w:pPr>
    </w:p>
    <w:p w14:paraId="6B5EF260" w14:textId="77777777" w:rsidR="004E7611" w:rsidRDefault="004E7611" w:rsidP="00B33D80">
      <w:pPr>
        <w:spacing w:after="0"/>
        <w:jc w:val="right"/>
      </w:pPr>
    </w:p>
    <w:p w14:paraId="34853999" w14:textId="77777777" w:rsidR="004E7611" w:rsidRDefault="00B96877" w:rsidP="00B33D80">
      <w:pPr>
        <w:spacing w:after="0"/>
        <w:jc w:val="right"/>
      </w:pPr>
      <w:r w:rsidRPr="00A1605B">
        <w:rPr>
          <w:b/>
          <w:i/>
          <w:noProof/>
          <w:color w:val="8496B0" w:themeColor="text2" w:themeTint="99"/>
          <w:sz w:val="36"/>
          <w:szCs w:val="36"/>
        </w:rPr>
        <w:drawing>
          <wp:inline distT="0" distB="0" distL="0" distR="0" wp14:anchorId="2CAA02A8" wp14:editId="1134B45C">
            <wp:extent cx="2895600" cy="620486"/>
            <wp:effectExtent l="19050" t="0" r="0" b="0"/>
            <wp:docPr id="4" name="Picture 1" descr="F:\Energize CT logo\EC_logo_Primary_RGB_pr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nergize CT logo\EC_logo_Primary_RGB_print.png"/>
                    <pic:cNvPicPr>
                      <a:picLocks noChangeAspect="1" noChangeArrowheads="1"/>
                    </pic:cNvPicPr>
                  </pic:nvPicPr>
                  <pic:blipFill>
                    <a:blip r:embed="rId8" cstate="print"/>
                    <a:srcRect/>
                    <a:stretch>
                      <a:fillRect/>
                    </a:stretch>
                  </pic:blipFill>
                  <pic:spPr bwMode="auto">
                    <a:xfrm>
                      <a:off x="0" y="0"/>
                      <a:ext cx="2895600" cy="620486"/>
                    </a:xfrm>
                    <a:prstGeom prst="rect">
                      <a:avLst/>
                    </a:prstGeom>
                    <a:noFill/>
                    <a:ln w="9525">
                      <a:noFill/>
                      <a:miter lim="800000"/>
                      <a:headEnd/>
                      <a:tailEnd/>
                    </a:ln>
                  </pic:spPr>
                </pic:pic>
              </a:graphicData>
            </a:graphic>
          </wp:inline>
        </w:drawing>
      </w:r>
    </w:p>
    <w:p w14:paraId="75FF6BA2" w14:textId="77777777" w:rsidR="004E7611" w:rsidRDefault="004E7611" w:rsidP="00B33D80">
      <w:pPr>
        <w:spacing w:after="0"/>
        <w:jc w:val="right"/>
      </w:pPr>
    </w:p>
    <w:p w14:paraId="62D129E0" w14:textId="77777777" w:rsidR="004E7611" w:rsidRDefault="004E7611" w:rsidP="00B33D80">
      <w:pPr>
        <w:spacing w:after="0"/>
        <w:jc w:val="right"/>
      </w:pPr>
    </w:p>
    <w:p w14:paraId="0D405251" w14:textId="4DCC7D45" w:rsidR="004E7611" w:rsidRDefault="00BF06F8" w:rsidP="00B33D80">
      <w:pPr>
        <w:spacing w:after="0"/>
        <w:jc w:val="right"/>
      </w:pPr>
      <w:r>
        <w:t xml:space="preserve">January </w:t>
      </w:r>
      <w:r w:rsidR="0088358D">
        <w:t>2</w:t>
      </w:r>
      <w:r w:rsidR="008117C0">
        <w:t>5</w:t>
      </w:r>
      <w:r>
        <w:t xml:space="preserve">, </w:t>
      </w:r>
      <w:r w:rsidR="001B060C">
        <w:t>202</w:t>
      </w:r>
      <w:r>
        <w:t>1</w:t>
      </w:r>
    </w:p>
    <w:p w14:paraId="30F03BCE" w14:textId="77777777" w:rsidR="00B962C0" w:rsidRDefault="00B962C0" w:rsidP="00B33D80">
      <w:pPr>
        <w:spacing w:after="0"/>
        <w:jc w:val="right"/>
        <w:rPr>
          <w:b/>
          <w:bCs/>
        </w:rPr>
      </w:pPr>
    </w:p>
    <w:p w14:paraId="77A29C07" w14:textId="794683F8" w:rsidR="004E7611" w:rsidRDefault="00B629E5" w:rsidP="00B33D80">
      <w:pPr>
        <w:spacing w:after="0"/>
        <w:jc w:val="right"/>
      </w:pPr>
      <w:r w:rsidRPr="00B962C0">
        <w:rPr>
          <w:b/>
          <w:bCs/>
        </w:rPr>
        <w:t>Voted and adopted /approved by Evaluation Committee</w:t>
      </w:r>
      <w:r w:rsidR="00B24DCA">
        <w:rPr>
          <w:b/>
          <w:bCs/>
        </w:rPr>
        <w:t xml:space="preserve"> 1/27/21</w:t>
      </w:r>
    </w:p>
    <w:p w14:paraId="3448B7FF" w14:textId="77777777" w:rsidR="004E7611" w:rsidRDefault="004E7611" w:rsidP="00B33D80">
      <w:pPr>
        <w:spacing w:after="0"/>
        <w:jc w:val="right"/>
      </w:pPr>
    </w:p>
    <w:p w14:paraId="64C78A6D" w14:textId="77777777" w:rsidR="004E7611" w:rsidRDefault="004E7611" w:rsidP="00B33D80">
      <w:pPr>
        <w:spacing w:after="0"/>
        <w:jc w:val="right"/>
      </w:pPr>
      <w:r>
        <w:t xml:space="preserve">Prepared for: </w:t>
      </w:r>
    </w:p>
    <w:p w14:paraId="56165ACD" w14:textId="77777777" w:rsidR="004E7611" w:rsidRDefault="004E7611" w:rsidP="00B33D80">
      <w:pPr>
        <w:spacing w:after="0"/>
        <w:jc w:val="right"/>
      </w:pPr>
      <w:r>
        <w:t>CTEEB Evaluation Committee and EEB</w:t>
      </w:r>
    </w:p>
    <w:p w14:paraId="32A65732" w14:textId="77777777" w:rsidR="004E7611" w:rsidRDefault="004E7611" w:rsidP="00B33D80">
      <w:pPr>
        <w:spacing w:after="0"/>
        <w:jc w:val="right"/>
      </w:pPr>
    </w:p>
    <w:p w14:paraId="326BE225" w14:textId="77777777" w:rsidR="004E7611" w:rsidRDefault="004E7611" w:rsidP="00B33D80">
      <w:pPr>
        <w:spacing w:after="0"/>
        <w:jc w:val="right"/>
      </w:pPr>
      <w:r>
        <w:t>Prepared by:</w:t>
      </w:r>
    </w:p>
    <w:p w14:paraId="6FCF7C21" w14:textId="77777777" w:rsidR="004E7611" w:rsidRDefault="004E7611" w:rsidP="00B33D80">
      <w:pPr>
        <w:spacing w:after="0"/>
        <w:jc w:val="right"/>
      </w:pPr>
      <w:r>
        <w:t>Evaluation Administrators:</w:t>
      </w:r>
    </w:p>
    <w:p w14:paraId="05DA0443" w14:textId="77777777" w:rsidR="004E7611" w:rsidRDefault="004E7611" w:rsidP="00B33D80">
      <w:pPr>
        <w:spacing w:after="0"/>
        <w:jc w:val="right"/>
      </w:pPr>
      <w:r>
        <w:t>Lisa A. Skumatz</w:t>
      </w:r>
    </w:p>
    <w:p w14:paraId="17E24500" w14:textId="77777777" w:rsidR="004E7611" w:rsidRDefault="004E7611" w:rsidP="00B33D80">
      <w:pPr>
        <w:spacing w:after="0"/>
        <w:jc w:val="right"/>
      </w:pPr>
      <w:r>
        <w:t>Ralph Prahl</w:t>
      </w:r>
    </w:p>
    <w:p w14:paraId="2C16B098" w14:textId="285C9901" w:rsidR="004E7611" w:rsidRDefault="004E7611" w:rsidP="00B33D80">
      <w:pPr>
        <w:spacing w:after="0"/>
        <w:jc w:val="right"/>
      </w:pPr>
      <w:r>
        <w:t>Robert Wirtshafter</w:t>
      </w:r>
    </w:p>
    <w:p w14:paraId="036688C5" w14:textId="0ECFFF1A" w:rsidR="001B060C" w:rsidRDefault="001B060C" w:rsidP="00B33D80">
      <w:pPr>
        <w:spacing w:after="0"/>
        <w:jc w:val="right"/>
      </w:pPr>
      <w:r>
        <w:t>Dakers Gowans</w:t>
      </w:r>
    </w:p>
    <w:p w14:paraId="5C7A4523" w14:textId="2E8EEB8F" w:rsidR="001B060C" w:rsidRDefault="001B060C" w:rsidP="00B33D80">
      <w:pPr>
        <w:spacing w:after="0"/>
        <w:jc w:val="right"/>
      </w:pPr>
      <w:r>
        <w:t>Peter Jacobs</w:t>
      </w:r>
    </w:p>
    <w:p w14:paraId="7D816FC9" w14:textId="77777777" w:rsidR="004E7611" w:rsidRDefault="004E7611" w:rsidP="00B33D80">
      <w:pPr>
        <w:spacing w:after="0"/>
      </w:pPr>
    </w:p>
    <w:p w14:paraId="4BB8DD59" w14:textId="14080BFB" w:rsidR="00AB6E73" w:rsidRDefault="00AB6E73">
      <w:r>
        <w:br w:type="page"/>
      </w:r>
    </w:p>
    <w:p w14:paraId="13C0628B" w14:textId="77777777" w:rsidR="001321D6" w:rsidRDefault="001321D6" w:rsidP="00B33D80">
      <w:pPr>
        <w:spacing w:after="0"/>
      </w:pPr>
    </w:p>
    <w:p w14:paraId="0E106E9C" w14:textId="77777777" w:rsidR="001321D6" w:rsidRPr="00155C43" w:rsidRDefault="001321D6" w:rsidP="00B33D80">
      <w:pPr>
        <w:spacing w:after="0"/>
        <w:rPr>
          <w:b/>
          <w:bCs/>
          <w:sz w:val="24"/>
          <w:szCs w:val="24"/>
        </w:rPr>
      </w:pPr>
      <w:r w:rsidRPr="00155C43">
        <w:rPr>
          <w:b/>
          <w:bCs/>
          <w:sz w:val="24"/>
          <w:szCs w:val="24"/>
        </w:rPr>
        <w:t>Organization of the Report</w:t>
      </w:r>
    </w:p>
    <w:sdt>
      <w:sdtPr>
        <w:rPr>
          <w:rFonts w:asciiTheme="minorHAnsi" w:eastAsiaTheme="minorHAnsi" w:hAnsiTheme="minorHAnsi" w:cstheme="minorBidi"/>
          <w:color w:val="auto"/>
          <w:sz w:val="20"/>
          <w:szCs w:val="20"/>
        </w:rPr>
        <w:id w:val="1254557620"/>
        <w:docPartObj>
          <w:docPartGallery w:val="Table of Contents"/>
          <w:docPartUnique/>
        </w:docPartObj>
      </w:sdtPr>
      <w:sdtEndPr>
        <w:rPr>
          <w:noProof/>
        </w:rPr>
      </w:sdtEndPr>
      <w:sdtContent>
        <w:p w14:paraId="277010E5" w14:textId="77777777" w:rsidR="00332D97" w:rsidRPr="000D70AC" w:rsidRDefault="00332D97">
          <w:pPr>
            <w:pStyle w:val="TOCHeading"/>
            <w:rPr>
              <w:sz w:val="28"/>
              <w:szCs w:val="28"/>
            </w:rPr>
          </w:pPr>
          <w:r w:rsidRPr="000D70AC">
            <w:rPr>
              <w:sz w:val="28"/>
              <w:szCs w:val="28"/>
            </w:rPr>
            <w:t>Contents</w:t>
          </w:r>
        </w:p>
        <w:p w14:paraId="45D6B07B" w14:textId="216D18D4" w:rsidR="00E25122" w:rsidRPr="00E25122" w:rsidRDefault="00332D97">
          <w:pPr>
            <w:pStyle w:val="TOC1"/>
            <w:tabs>
              <w:tab w:val="right" w:leader="dot" w:pos="9926"/>
            </w:tabs>
            <w:rPr>
              <w:rFonts w:eastAsiaTheme="minorEastAsia"/>
              <w:noProof/>
              <w:sz w:val="20"/>
              <w:szCs w:val="20"/>
            </w:rPr>
          </w:pPr>
          <w:r w:rsidRPr="00E25122">
            <w:rPr>
              <w:sz w:val="20"/>
              <w:szCs w:val="20"/>
            </w:rPr>
            <w:fldChar w:fldCharType="begin"/>
          </w:r>
          <w:r w:rsidRPr="00E25122">
            <w:rPr>
              <w:sz w:val="20"/>
              <w:szCs w:val="20"/>
            </w:rPr>
            <w:instrText xml:space="preserve"> TOC \o "1-3" \h \z \u </w:instrText>
          </w:r>
          <w:r w:rsidRPr="00E25122">
            <w:rPr>
              <w:sz w:val="20"/>
              <w:szCs w:val="20"/>
            </w:rPr>
            <w:fldChar w:fldCharType="separate"/>
          </w:r>
          <w:hyperlink w:anchor="_Toc62551036" w:history="1">
            <w:r w:rsidR="00E25122" w:rsidRPr="00E25122">
              <w:rPr>
                <w:rStyle w:val="Hyperlink"/>
                <w:noProof/>
                <w:sz w:val="20"/>
                <w:szCs w:val="20"/>
              </w:rPr>
              <w:t>Summary / Abstract</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_Toc62551036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1</w:t>
            </w:r>
            <w:r w:rsidR="00E25122" w:rsidRPr="00E25122">
              <w:rPr>
                <w:noProof/>
                <w:webHidden/>
                <w:sz w:val="20"/>
                <w:szCs w:val="20"/>
              </w:rPr>
              <w:fldChar w:fldCharType="end"/>
            </w:r>
          </w:hyperlink>
        </w:p>
        <w:p w14:paraId="583D457C" w14:textId="74C50141" w:rsidR="00E25122" w:rsidRPr="00E25122" w:rsidRDefault="00AA0AE2">
          <w:pPr>
            <w:pStyle w:val="TOC3"/>
            <w:tabs>
              <w:tab w:val="right" w:leader="dot" w:pos="9926"/>
            </w:tabs>
            <w:rPr>
              <w:rFonts w:eastAsiaTheme="minorEastAsia"/>
              <w:noProof/>
              <w:sz w:val="20"/>
              <w:szCs w:val="20"/>
            </w:rPr>
          </w:pPr>
          <w:hyperlink w:anchor="_Toc62551037" w:history="1">
            <w:r w:rsidR="00E25122" w:rsidRPr="00E25122">
              <w:rPr>
                <w:rStyle w:val="Hyperlink"/>
                <w:rFonts w:cstheme="minorHAnsi"/>
                <w:noProof/>
                <w:sz w:val="20"/>
                <w:szCs w:val="20"/>
              </w:rPr>
              <w:t>Figure 1:  2021 Projects for 2019-2021 Evaluation Plan Update</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_Toc62551037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1</w:t>
            </w:r>
            <w:r w:rsidR="00E25122" w:rsidRPr="00E25122">
              <w:rPr>
                <w:noProof/>
                <w:webHidden/>
                <w:sz w:val="20"/>
                <w:szCs w:val="20"/>
              </w:rPr>
              <w:fldChar w:fldCharType="end"/>
            </w:r>
          </w:hyperlink>
        </w:p>
        <w:p w14:paraId="419F87FA" w14:textId="5E66CEF4" w:rsidR="00E25122" w:rsidRPr="00E25122" w:rsidRDefault="00AA0AE2">
          <w:pPr>
            <w:pStyle w:val="TOC3"/>
            <w:tabs>
              <w:tab w:val="right" w:leader="dot" w:pos="9926"/>
            </w:tabs>
            <w:rPr>
              <w:rFonts w:eastAsiaTheme="minorEastAsia"/>
              <w:noProof/>
              <w:sz w:val="20"/>
              <w:szCs w:val="20"/>
            </w:rPr>
          </w:pPr>
          <w:hyperlink w:anchor="_Toc62551038" w:history="1">
            <w:r w:rsidR="00E25122" w:rsidRPr="00E25122">
              <w:rPr>
                <w:rStyle w:val="Hyperlink"/>
                <w:rFonts w:cstheme="minorHAnsi"/>
                <w:iCs/>
                <w:noProof/>
                <w:sz w:val="20"/>
                <w:szCs w:val="20"/>
              </w:rPr>
              <w:t>Figure 2:  2019-2021 Evaluation Plan Budget Contracting by Year</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_Toc62551038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2</w:t>
            </w:r>
            <w:r w:rsidR="00E25122" w:rsidRPr="00E25122">
              <w:rPr>
                <w:noProof/>
                <w:webHidden/>
                <w:sz w:val="20"/>
                <w:szCs w:val="20"/>
              </w:rPr>
              <w:fldChar w:fldCharType="end"/>
            </w:r>
          </w:hyperlink>
        </w:p>
        <w:p w14:paraId="20306B2C" w14:textId="6C6FFE72" w:rsidR="00E25122" w:rsidRPr="00E25122" w:rsidRDefault="00AA0AE2">
          <w:pPr>
            <w:pStyle w:val="TOC1"/>
            <w:tabs>
              <w:tab w:val="right" w:leader="dot" w:pos="9926"/>
            </w:tabs>
            <w:rPr>
              <w:rFonts w:eastAsiaTheme="minorEastAsia"/>
              <w:noProof/>
              <w:sz w:val="20"/>
              <w:szCs w:val="20"/>
            </w:rPr>
          </w:pPr>
          <w:hyperlink w:anchor="_Toc62551039" w:history="1">
            <w:r w:rsidR="00E25122" w:rsidRPr="00E25122">
              <w:rPr>
                <w:rStyle w:val="Hyperlink"/>
                <w:noProof/>
                <w:sz w:val="20"/>
                <w:szCs w:val="20"/>
              </w:rPr>
              <w:t>Detailed Descriptions of Process, Context and Projects for 2021 Plan Update</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_Toc62551039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3</w:t>
            </w:r>
            <w:r w:rsidR="00E25122" w:rsidRPr="00E25122">
              <w:rPr>
                <w:noProof/>
                <w:webHidden/>
                <w:sz w:val="20"/>
                <w:szCs w:val="20"/>
              </w:rPr>
              <w:fldChar w:fldCharType="end"/>
            </w:r>
          </w:hyperlink>
        </w:p>
        <w:p w14:paraId="7C8C394B" w14:textId="2F58D674" w:rsidR="00E25122" w:rsidRPr="00E25122" w:rsidRDefault="00AA0AE2">
          <w:pPr>
            <w:pStyle w:val="TOC2"/>
            <w:tabs>
              <w:tab w:val="right" w:leader="dot" w:pos="9926"/>
            </w:tabs>
            <w:rPr>
              <w:rFonts w:eastAsiaTheme="minorEastAsia"/>
              <w:noProof/>
              <w:sz w:val="20"/>
              <w:szCs w:val="20"/>
            </w:rPr>
          </w:pPr>
          <w:hyperlink w:anchor="_Toc62551040" w:history="1">
            <w:r w:rsidR="00E25122" w:rsidRPr="00E25122">
              <w:rPr>
                <w:rStyle w:val="Hyperlink"/>
                <w:noProof/>
                <w:sz w:val="20"/>
                <w:szCs w:val="20"/>
              </w:rPr>
              <w:t>Background and Process</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_Toc62551040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3</w:t>
            </w:r>
            <w:r w:rsidR="00E25122" w:rsidRPr="00E25122">
              <w:rPr>
                <w:noProof/>
                <w:webHidden/>
                <w:sz w:val="20"/>
                <w:szCs w:val="20"/>
              </w:rPr>
              <w:fldChar w:fldCharType="end"/>
            </w:r>
          </w:hyperlink>
        </w:p>
        <w:p w14:paraId="2A7EE8EF" w14:textId="093BC2BF" w:rsidR="00E25122" w:rsidRPr="00E25122" w:rsidRDefault="00AA0AE2">
          <w:pPr>
            <w:pStyle w:val="TOC2"/>
            <w:tabs>
              <w:tab w:val="right" w:leader="dot" w:pos="9926"/>
            </w:tabs>
            <w:rPr>
              <w:rFonts w:eastAsiaTheme="minorEastAsia"/>
              <w:noProof/>
              <w:sz w:val="20"/>
              <w:szCs w:val="20"/>
            </w:rPr>
          </w:pPr>
          <w:hyperlink w:anchor="_Toc62551041" w:history="1">
            <w:r w:rsidR="00E25122" w:rsidRPr="00E25122">
              <w:rPr>
                <w:rStyle w:val="Hyperlink"/>
                <w:noProof/>
                <w:sz w:val="20"/>
                <w:szCs w:val="20"/>
              </w:rPr>
              <w:t>The 2021 Projects in the Context of the Three-Year 2019-2021 Evaluation Plan</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_Toc62551041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4</w:t>
            </w:r>
            <w:r w:rsidR="00E25122" w:rsidRPr="00E25122">
              <w:rPr>
                <w:noProof/>
                <w:webHidden/>
                <w:sz w:val="20"/>
                <w:szCs w:val="20"/>
              </w:rPr>
              <w:fldChar w:fldCharType="end"/>
            </w:r>
          </w:hyperlink>
        </w:p>
        <w:p w14:paraId="61BAE7DF" w14:textId="5D86B2F5" w:rsidR="00E25122" w:rsidRPr="00E25122" w:rsidRDefault="00AA0AE2">
          <w:pPr>
            <w:pStyle w:val="TOC3"/>
            <w:tabs>
              <w:tab w:val="right" w:leader="dot" w:pos="9926"/>
            </w:tabs>
            <w:rPr>
              <w:rFonts w:eastAsiaTheme="minorEastAsia"/>
              <w:noProof/>
              <w:sz w:val="20"/>
              <w:szCs w:val="20"/>
            </w:rPr>
          </w:pPr>
          <w:hyperlink w:anchor="_Toc62551042" w:history="1">
            <w:r w:rsidR="00E25122" w:rsidRPr="00E25122">
              <w:rPr>
                <w:rStyle w:val="Hyperlink"/>
                <w:rFonts w:cstheme="minorHAnsi"/>
                <w:noProof/>
                <w:sz w:val="20"/>
                <w:szCs w:val="20"/>
              </w:rPr>
              <w:t>Figure 3:  Evaluation Plan Budget and Project Counts by Sector</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_Toc62551042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4</w:t>
            </w:r>
            <w:r w:rsidR="00E25122" w:rsidRPr="00E25122">
              <w:rPr>
                <w:noProof/>
                <w:webHidden/>
                <w:sz w:val="20"/>
                <w:szCs w:val="20"/>
              </w:rPr>
              <w:fldChar w:fldCharType="end"/>
            </w:r>
          </w:hyperlink>
        </w:p>
        <w:p w14:paraId="5A5E480D" w14:textId="28023D4D" w:rsidR="00E25122" w:rsidRPr="00E25122" w:rsidRDefault="00AA0AE2">
          <w:pPr>
            <w:pStyle w:val="TOC2"/>
            <w:tabs>
              <w:tab w:val="right" w:leader="dot" w:pos="9926"/>
            </w:tabs>
            <w:rPr>
              <w:rFonts w:eastAsiaTheme="minorEastAsia"/>
              <w:noProof/>
              <w:sz w:val="20"/>
              <w:szCs w:val="20"/>
            </w:rPr>
          </w:pPr>
          <w:hyperlink w:anchor="_Toc62551043" w:history="1">
            <w:r w:rsidR="00E25122" w:rsidRPr="00E25122">
              <w:rPr>
                <w:rStyle w:val="Hyperlink"/>
                <w:noProof/>
                <w:sz w:val="20"/>
                <w:szCs w:val="20"/>
              </w:rPr>
              <w:t>Contents of the Remainder of the Plan Update</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_Toc62551043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4</w:t>
            </w:r>
            <w:r w:rsidR="00E25122" w:rsidRPr="00E25122">
              <w:rPr>
                <w:noProof/>
                <w:webHidden/>
                <w:sz w:val="20"/>
                <w:szCs w:val="20"/>
              </w:rPr>
              <w:fldChar w:fldCharType="end"/>
            </w:r>
          </w:hyperlink>
        </w:p>
        <w:p w14:paraId="6DFF0618" w14:textId="40D7A67F" w:rsidR="00E25122" w:rsidRPr="00E25122" w:rsidRDefault="00AA0AE2">
          <w:pPr>
            <w:pStyle w:val="TOC2"/>
            <w:tabs>
              <w:tab w:val="right" w:leader="dot" w:pos="9926"/>
            </w:tabs>
            <w:rPr>
              <w:rFonts w:eastAsiaTheme="minorEastAsia"/>
              <w:noProof/>
              <w:sz w:val="20"/>
              <w:szCs w:val="20"/>
            </w:rPr>
          </w:pPr>
          <w:hyperlink w:anchor="_Toc62551044" w:history="1">
            <w:r w:rsidR="00E25122" w:rsidRPr="00E25122">
              <w:rPr>
                <w:rStyle w:val="Hyperlink"/>
                <w:noProof/>
                <w:sz w:val="20"/>
                <w:szCs w:val="20"/>
              </w:rPr>
              <w:t>Next Steps and Additional Recommendations</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_Toc62551044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5</w:t>
            </w:r>
            <w:r w:rsidR="00E25122" w:rsidRPr="00E25122">
              <w:rPr>
                <w:noProof/>
                <w:webHidden/>
                <w:sz w:val="20"/>
                <w:szCs w:val="20"/>
              </w:rPr>
              <w:fldChar w:fldCharType="end"/>
            </w:r>
          </w:hyperlink>
        </w:p>
        <w:p w14:paraId="6B99ABB8" w14:textId="46CEE3AC" w:rsidR="00E25122" w:rsidRPr="00E25122" w:rsidRDefault="00AA0AE2">
          <w:pPr>
            <w:pStyle w:val="TOC2"/>
            <w:tabs>
              <w:tab w:val="right" w:leader="dot" w:pos="9926"/>
            </w:tabs>
            <w:rPr>
              <w:rFonts w:eastAsiaTheme="minorEastAsia"/>
              <w:noProof/>
              <w:sz w:val="20"/>
              <w:szCs w:val="20"/>
            </w:rPr>
          </w:pPr>
          <w:hyperlink w:anchor="_Toc62551045" w:history="1">
            <w:r w:rsidR="00E25122" w:rsidRPr="00E25122">
              <w:rPr>
                <w:rStyle w:val="Hyperlink"/>
                <w:noProof/>
                <w:sz w:val="20"/>
                <w:szCs w:val="20"/>
              </w:rPr>
              <w:t>Details of 2021 Plan Update Projects - Figures</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_Toc62551045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5</w:t>
            </w:r>
            <w:r w:rsidR="00E25122" w:rsidRPr="00E25122">
              <w:rPr>
                <w:noProof/>
                <w:webHidden/>
                <w:sz w:val="20"/>
                <w:szCs w:val="20"/>
              </w:rPr>
              <w:fldChar w:fldCharType="end"/>
            </w:r>
          </w:hyperlink>
        </w:p>
        <w:p w14:paraId="015DAC5B" w14:textId="0479CF29" w:rsidR="00E25122" w:rsidRPr="00E25122" w:rsidRDefault="00AA0AE2">
          <w:pPr>
            <w:pStyle w:val="TOC3"/>
            <w:tabs>
              <w:tab w:val="right" w:leader="dot" w:pos="9926"/>
            </w:tabs>
            <w:rPr>
              <w:rFonts w:eastAsiaTheme="minorEastAsia"/>
              <w:noProof/>
              <w:sz w:val="20"/>
              <w:szCs w:val="20"/>
            </w:rPr>
          </w:pPr>
          <w:hyperlink w:anchor="_Toc62551046" w:history="1">
            <w:r w:rsidR="00E25122" w:rsidRPr="00E25122">
              <w:rPr>
                <w:rStyle w:val="Hyperlink"/>
                <w:rFonts w:cstheme="minorHAnsi"/>
                <w:noProof/>
                <w:sz w:val="20"/>
                <w:szCs w:val="20"/>
              </w:rPr>
              <w:t>Figure 4:  Three-Year Adopted Evaluation Plan Project List –As-Contracted, by Group &amp; Year</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_Toc62551046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6</w:t>
            </w:r>
            <w:r w:rsidR="00E25122" w:rsidRPr="00E25122">
              <w:rPr>
                <w:noProof/>
                <w:webHidden/>
                <w:sz w:val="20"/>
                <w:szCs w:val="20"/>
              </w:rPr>
              <w:fldChar w:fldCharType="end"/>
            </w:r>
          </w:hyperlink>
        </w:p>
        <w:p w14:paraId="01A9D1F0" w14:textId="045641EE" w:rsidR="00E25122" w:rsidRPr="00E25122" w:rsidRDefault="00AA0AE2">
          <w:pPr>
            <w:pStyle w:val="TOC3"/>
            <w:tabs>
              <w:tab w:val="right" w:leader="dot" w:pos="9926"/>
            </w:tabs>
            <w:rPr>
              <w:rFonts w:eastAsiaTheme="minorEastAsia"/>
              <w:noProof/>
              <w:sz w:val="20"/>
              <w:szCs w:val="20"/>
            </w:rPr>
          </w:pPr>
          <w:hyperlink w:anchor="_Toc62551047" w:history="1">
            <w:r w:rsidR="00E25122" w:rsidRPr="00E25122">
              <w:rPr>
                <w:rStyle w:val="Hyperlink"/>
                <w:rFonts w:cstheme="minorHAnsi"/>
                <w:noProof/>
                <w:sz w:val="20"/>
                <w:szCs w:val="20"/>
              </w:rPr>
              <w:t>Figure 5: 2021 Projects with Budget Adjustments due to COVID-19 or other causes</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_Toc62551047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7</w:t>
            </w:r>
            <w:r w:rsidR="00E25122" w:rsidRPr="00E25122">
              <w:rPr>
                <w:noProof/>
                <w:webHidden/>
                <w:sz w:val="20"/>
                <w:szCs w:val="20"/>
              </w:rPr>
              <w:fldChar w:fldCharType="end"/>
            </w:r>
          </w:hyperlink>
        </w:p>
        <w:p w14:paraId="6AE7A47A" w14:textId="30CE56A5" w:rsidR="00E25122" w:rsidRPr="00E25122" w:rsidRDefault="00AA0AE2">
          <w:pPr>
            <w:pStyle w:val="TOC3"/>
            <w:tabs>
              <w:tab w:val="right" w:leader="dot" w:pos="9926"/>
            </w:tabs>
            <w:rPr>
              <w:rFonts w:eastAsiaTheme="minorEastAsia"/>
              <w:noProof/>
              <w:sz w:val="20"/>
              <w:szCs w:val="20"/>
            </w:rPr>
          </w:pPr>
          <w:hyperlink w:anchor="_Toc62551048" w:history="1">
            <w:r w:rsidR="00E25122" w:rsidRPr="00E25122">
              <w:rPr>
                <w:rStyle w:val="Hyperlink"/>
                <w:rFonts w:cstheme="minorHAnsi"/>
                <w:noProof/>
                <w:sz w:val="20"/>
                <w:szCs w:val="20"/>
              </w:rPr>
              <w:t>Figure 6: Projects that are Add-Ons to Existing Projects to Incorporate Updated Research Needs, Part 1</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_Toc62551048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7</w:t>
            </w:r>
            <w:r w:rsidR="00E25122" w:rsidRPr="00E25122">
              <w:rPr>
                <w:noProof/>
                <w:webHidden/>
                <w:sz w:val="20"/>
                <w:szCs w:val="20"/>
              </w:rPr>
              <w:fldChar w:fldCharType="end"/>
            </w:r>
          </w:hyperlink>
        </w:p>
        <w:p w14:paraId="539DBBD0" w14:textId="7591A83B" w:rsidR="00E25122" w:rsidRPr="00E25122" w:rsidRDefault="00AA0AE2">
          <w:pPr>
            <w:pStyle w:val="TOC3"/>
            <w:tabs>
              <w:tab w:val="right" w:leader="dot" w:pos="9926"/>
            </w:tabs>
            <w:rPr>
              <w:rFonts w:eastAsiaTheme="minorEastAsia"/>
              <w:noProof/>
              <w:sz w:val="20"/>
              <w:szCs w:val="20"/>
            </w:rPr>
          </w:pPr>
          <w:hyperlink w:anchor="_Toc62551049" w:history="1">
            <w:r w:rsidR="00E25122" w:rsidRPr="00E25122">
              <w:rPr>
                <w:rStyle w:val="Hyperlink"/>
                <w:rFonts w:cstheme="minorHAnsi"/>
                <w:noProof/>
                <w:sz w:val="20"/>
                <w:szCs w:val="20"/>
              </w:rPr>
              <w:t>Figure 6: Projects that are Add-Ons to Existing Projects to Incorporate Updated Research Needs, Part 2</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_Toc62551049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8</w:t>
            </w:r>
            <w:r w:rsidR="00E25122" w:rsidRPr="00E25122">
              <w:rPr>
                <w:noProof/>
                <w:webHidden/>
                <w:sz w:val="20"/>
                <w:szCs w:val="20"/>
              </w:rPr>
              <w:fldChar w:fldCharType="end"/>
            </w:r>
          </w:hyperlink>
        </w:p>
        <w:p w14:paraId="653B03D6" w14:textId="67BF4D39" w:rsidR="00E25122" w:rsidRPr="00E25122" w:rsidRDefault="00AA0AE2">
          <w:pPr>
            <w:pStyle w:val="TOC3"/>
            <w:tabs>
              <w:tab w:val="right" w:leader="dot" w:pos="9926"/>
            </w:tabs>
            <w:rPr>
              <w:rFonts w:eastAsiaTheme="minorEastAsia"/>
              <w:noProof/>
              <w:sz w:val="20"/>
              <w:szCs w:val="20"/>
            </w:rPr>
          </w:pPr>
          <w:hyperlink w:anchor="_Toc62551050" w:history="1">
            <w:r w:rsidR="00E25122" w:rsidRPr="00E25122">
              <w:rPr>
                <w:rStyle w:val="Hyperlink"/>
                <w:rFonts w:cstheme="minorHAnsi"/>
                <w:noProof/>
                <w:sz w:val="20"/>
                <w:szCs w:val="20"/>
              </w:rPr>
              <w:t>Figure 6: Projects that are Add-Ons to Existing Projects to Incorporate Updated Research Needs, Part 3</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_Toc62551050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9</w:t>
            </w:r>
            <w:r w:rsidR="00E25122" w:rsidRPr="00E25122">
              <w:rPr>
                <w:noProof/>
                <w:webHidden/>
                <w:sz w:val="20"/>
                <w:szCs w:val="20"/>
              </w:rPr>
              <w:fldChar w:fldCharType="end"/>
            </w:r>
          </w:hyperlink>
        </w:p>
        <w:p w14:paraId="240F0A73" w14:textId="2CC6C969" w:rsidR="00E25122" w:rsidRPr="00E25122" w:rsidRDefault="00AA0AE2">
          <w:pPr>
            <w:pStyle w:val="TOC3"/>
            <w:tabs>
              <w:tab w:val="right" w:leader="dot" w:pos="9926"/>
            </w:tabs>
            <w:rPr>
              <w:rFonts w:eastAsiaTheme="minorEastAsia"/>
              <w:noProof/>
              <w:sz w:val="20"/>
              <w:szCs w:val="20"/>
            </w:rPr>
          </w:pPr>
          <w:hyperlink w:anchor="_Toc62551051" w:history="1">
            <w:r w:rsidR="00E25122" w:rsidRPr="00E25122">
              <w:rPr>
                <w:rStyle w:val="Hyperlink"/>
                <w:rFonts w:cstheme="minorHAnsi"/>
                <w:noProof/>
                <w:sz w:val="20"/>
                <w:szCs w:val="20"/>
              </w:rPr>
              <w:t>Figure 7: Projects Recommended for RFP Process</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_Toc62551051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10</w:t>
            </w:r>
            <w:r w:rsidR="00E25122" w:rsidRPr="00E25122">
              <w:rPr>
                <w:noProof/>
                <w:webHidden/>
                <w:sz w:val="20"/>
                <w:szCs w:val="20"/>
              </w:rPr>
              <w:fldChar w:fldCharType="end"/>
            </w:r>
          </w:hyperlink>
        </w:p>
        <w:p w14:paraId="7010B238" w14:textId="26F1A2A5" w:rsidR="00E25122" w:rsidRPr="00E25122" w:rsidRDefault="00AA0AE2">
          <w:pPr>
            <w:pStyle w:val="TOC3"/>
            <w:tabs>
              <w:tab w:val="right" w:leader="dot" w:pos="9926"/>
            </w:tabs>
            <w:rPr>
              <w:rFonts w:eastAsiaTheme="minorEastAsia"/>
              <w:noProof/>
              <w:sz w:val="20"/>
              <w:szCs w:val="20"/>
            </w:rPr>
          </w:pPr>
          <w:hyperlink w:anchor="_Toc62551052" w:history="1">
            <w:r w:rsidR="00E25122" w:rsidRPr="00E25122">
              <w:rPr>
                <w:rStyle w:val="Hyperlink"/>
                <w:rFonts w:cstheme="minorHAnsi"/>
                <w:noProof/>
                <w:sz w:val="20"/>
                <w:szCs w:val="20"/>
              </w:rPr>
              <w:t>Figure 8: Project Concepts Not Recommended for 2021 Plan Update, Part 1</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_Toc62551052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11</w:t>
            </w:r>
            <w:r w:rsidR="00E25122" w:rsidRPr="00E25122">
              <w:rPr>
                <w:noProof/>
                <w:webHidden/>
                <w:sz w:val="20"/>
                <w:szCs w:val="20"/>
              </w:rPr>
              <w:fldChar w:fldCharType="end"/>
            </w:r>
          </w:hyperlink>
        </w:p>
        <w:p w14:paraId="4B920362" w14:textId="4952B2C5" w:rsidR="00E25122" w:rsidRPr="00E25122" w:rsidRDefault="00AA0AE2">
          <w:pPr>
            <w:pStyle w:val="TOC3"/>
            <w:tabs>
              <w:tab w:val="right" w:leader="dot" w:pos="9926"/>
            </w:tabs>
            <w:rPr>
              <w:rFonts w:eastAsiaTheme="minorEastAsia"/>
              <w:noProof/>
              <w:sz w:val="20"/>
              <w:szCs w:val="20"/>
            </w:rPr>
          </w:pPr>
          <w:hyperlink w:anchor="_Toc62551053" w:history="1">
            <w:r w:rsidR="00E25122" w:rsidRPr="00E25122">
              <w:rPr>
                <w:rStyle w:val="Hyperlink"/>
                <w:rFonts w:cstheme="minorHAnsi"/>
                <w:noProof/>
                <w:sz w:val="20"/>
                <w:szCs w:val="20"/>
              </w:rPr>
              <w:t>Figure 8: Project Concepts Not Recommended for 2021 Plan Update, Part 2</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_Toc62551053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12</w:t>
            </w:r>
            <w:r w:rsidR="00E25122" w:rsidRPr="00E25122">
              <w:rPr>
                <w:noProof/>
                <w:webHidden/>
                <w:sz w:val="20"/>
                <w:szCs w:val="20"/>
              </w:rPr>
              <w:fldChar w:fldCharType="end"/>
            </w:r>
          </w:hyperlink>
        </w:p>
        <w:p w14:paraId="3B9895F4" w14:textId="6BBC57DB" w:rsidR="00E25122" w:rsidRPr="00E25122" w:rsidRDefault="00AA0AE2">
          <w:pPr>
            <w:pStyle w:val="TOC3"/>
            <w:tabs>
              <w:tab w:val="right" w:leader="dot" w:pos="9926"/>
            </w:tabs>
            <w:rPr>
              <w:rFonts w:eastAsiaTheme="minorEastAsia"/>
              <w:noProof/>
              <w:sz w:val="20"/>
              <w:szCs w:val="20"/>
            </w:rPr>
          </w:pPr>
          <w:hyperlink w:anchor="_Toc62551054" w:history="1">
            <w:r w:rsidR="00E25122" w:rsidRPr="00E25122">
              <w:rPr>
                <w:rStyle w:val="Hyperlink"/>
                <w:rFonts w:cstheme="minorHAnsi"/>
                <w:noProof/>
                <w:sz w:val="20"/>
                <w:szCs w:val="20"/>
              </w:rPr>
              <w:t>Figure 8: Project Concepts Not Recommended for 2021 Plan Update, Part 3</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_Toc62551054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13</w:t>
            </w:r>
            <w:r w:rsidR="00E25122" w:rsidRPr="00E25122">
              <w:rPr>
                <w:noProof/>
                <w:webHidden/>
                <w:sz w:val="20"/>
                <w:szCs w:val="20"/>
              </w:rPr>
              <w:fldChar w:fldCharType="end"/>
            </w:r>
          </w:hyperlink>
        </w:p>
        <w:p w14:paraId="67BD72D3" w14:textId="2473ACF1" w:rsidR="00E25122" w:rsidRPr="00E25122" w:rsidRDefault="00AA0AE2">
          <w:pPr>
            <w:pStyle w:val="TOC1"/>
            <w:tabs>
              <w:tab w:val="right" w:leader="dot" w:pos="9926"/>
            </w:tabs>
            <w:rPr>
              <w:rFonts w:eastAsiaTheme="minorEastAsia"/>
              <w:noProof/>
              <w:sz w:val="20"/>
              <w:szCs w:val="20"/>
            </w:rPr>
          </w:pPr>
          <w:hyperlink w:anchor="_Toc62551055" w:history="1">
            <w:r w:rsidR="00E25122" w:rsidRPr="00E25122">
              <w:rPr>
                <w:rStyle w:val="Hyperlink"/>
                <w:noProof/>
                <w:sz w:val="20"/>
                <w:szCs w:val="20"/>
              </w:rPr>
              <w:t>Appendix A – Brief Summary Notes of 2021 Plan Update Projects</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_Toc62551055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14</w:t>
            </w:r>
            <w:r w:rsidR="00E25122" w:rsidRPr="00E25122">
              <w:rPr>
                <w:noProof/>
                <w:webHidden/>
                <w:sz w:val="20"/>
                <w:szCs w:val="20"/>
              </w:rPr>
              <w:fldChar w:fldCharType="end"/>
            </w:r>
          </w:hyperlink>
        </w:p>
        <w:p w14:paraId="69EB09E7" w14:textId="503E1F13" w:rsidR="00E25122" w:rsidRPr="00E25122" w:rsidRDefault="00AA0AE2">
          <w:pPr>
            <w:pStyle w:val="TOC1"/>
            <w:tabs>
              <w:tab w:val="right" w:leader="dot" w:pos="9926"/>
            </w:tabs>
            <w:rPr>
              <w:rFonts w:eastAsiaTheme="minorEastAsia"/>
              <w:noProof/>
              <w:sz w:val="20"/>
              <w:szCs w:val="20"/>
            </w:rPr>
          </w:pPr>
          <w:hyperlink w:anchor="_Toc62551056" w:history="1">
            <w:r w:rsidR="00E25122" w:rsidRPr="00E25122">
              <w:rPr>
                <w:rStyle w:val="Hyperlink"/>
                <w:noProof/>
                <w:sz w:val="20"/>
                <w:szCs w:val="20"/>
              </w:rPr>
              <w:t>Appendix B –Disposition of 2019-2021 Evaluation Plan Projects</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_Toc62551056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20</w:t>
            </w:r>
            <w:r w:rsidR="00E25122" w:rsidRPr="00E25122">
              <w:rPr>
                <w:noProof/>
                <w:webHidden/>
                <w:sz w:val="20"/>
                <w:szCs w:val="20"/>
              </w:rPr>
              <w:fldChar w:fldCharType="end"/>
            </w:r>
          </w:hyperlink>
        </w:p>
        <w:p w14:paraId="78E7C96B" w14:textId="66AE3D9B" w:rsidR="00E25122" w:rsidRPr="00E25122" w:rsidRDefault="00AA0AE2">
          <w:pPr>
            <w:pStyle w:val="TOC3"/>
            <w:tabs>
              <w:tab w:val="right" w:leader="dot" w:pos="9926"/>
            </w:tabs>
            <w:rPr>
              <w:rFonts w:eastAsiaTheme="minorEastAsia"/>
              <w:noProof/>
              <w:sz w:val="20"/>
              <w:szCs w:val="20"/>
            </w:rPr>
          </w:pPr>
          <w:hyperlink w:anchor="_Toc62551057" w:history="1">
            <w:r w:rsidR="00E25122" w:rsidRPr="00E25122">
              <w:rPr>
                <w:rStyle w:val="Hyperlink"/>
                <w:rFonts w:cstheme="minorHAnsi"/>
                <w:noProof/>
                <w:sz w:val="20"/>
                <w:szCs w:val="20"/>
              </w:rPr>
              <w:t>Figure B.1: List of 2019-2021 Plan Projects After 2021 Update, with Rationales, Part 1</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_Toc62551057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20</w:t>
            </w:r>
            <w:r w:rsidR="00E25122" w:rsidRPr="00E25122">
              <w:rPr>
                <w:noProof/>
                <w:webHidden/>
                <w:sz w:val="20"/>
                <w:szCs w:val="20"/>
              </w:rPr>
              <w:fldChar w:fldCharType="end"/>
            </w:r>
          </w:hyperlink>
        </w:p>
        <w:p w14:paraId="6F26FA4A" w14:textId="0F95E330" w:rsidR="00E25122" w:rsidRPr="00E25122" w:rsidRDefault="00AA0AE2">
          <w:pPr>
            <w:pStyle w:val="TOC3"/>
            <w:tabs>
              <w:tab w:val="right" w:leader="dot" w:pos="9926"/>
            </w:tabs>
            <w:rPr>
              <w:rFonts w:eastAsiaTheme="minorEastAsia"/>
              <w:noProof/>
              <w:sz w:val="20"/>
              <w:szCs w:val="20"/>
            </w:rPr>
          </w:pPr>
          <w:hyperlink w:anchor="_Toc62551058" w:history="1">
            <w:r w:rsidR="00E25122" w:rsidRPr="00E25122">
              <w:rPr>
                <w:rStyle w:val="Hyperlink"/>
                <w:rFonts w:cstheme="minorHAnsi"/>
                <w:noProof/>
                <w:sz w:val="20"/>
                <w:szCs w:val="20"/>
              </w:rPr>
              <w:t>Figure B.1: List of 2019-2021 Plan Projects After 2021 Update, with Rationales, Part 2</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_Toc62551058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21</w:t>
            </w:r>
            <w:r w:rsidR="00E25122" w:rsidRPr="00E25122">
              <w:rPr>
                <w:noProof/>
                <w:webHidden/>
                <w:sz w:val="20"/>
                <w:szCs w:val="20"/>
              </w:rPr>
              <w:fldChar w:fldCharType="end"/>
            </w:r>
          </w:hyperlink>
        </w:p>
        <w:p w14:paraId="455CE2CB" w14:textId="5FFF39EF" w:rsidR="00E25122" w:rsidRPr="00E25122" w:rsidRDefault="00AA0AE2">
          <w:pPr>
            <w:pStyle w:val="TOC3"/>
            <w:tabs>
              <w:tab w:val="right" w:leader="dot" w:pos="9926"/>
            </w:tabs>
            <w:rPr>
              <w:rFonts w:eastAsiaTheme="minorEastAsia"/>
              <w:noProof/>
              <w:sz w:val="20"/>
              <w:szCs w:val="20"/>
            </w:rPr>
          </w:pPr>
          <w:hyperlink w:anchor="_Toc62551059" w:history="1">
            <w:r w:rsidR="00E25122" w:rsidRPr="00E25122">
              <w:rPr>
                <w:rStyle w:val="Hyperlink"/>
                <w:rFonts w:cstheme="minorHAnsi"/>
                <w:noProof/>
                <w:sz w:val="20"/>
                <w:szCs w:val="20"/>
              </w:rPr>
              <w:t>Figure B.1: List of 2019-2021 Plan Projects After 2021 Update, with Rationales, Part 3</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_Toc62551059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22</w:t>
            </w:r>
            <w:r w:rsidR="00E25122" w:rsidRPr="00E25122">
              <w:rPr>
                <w:noProof/>
                <w:webHidden/>
                <w:sz w:val="20"/>
                <w:szCs w:val="20"/>
              </w:rPr>
              <w:fldChar w:fldCharType="end"/>
            </w:r>
          </w:hyperlink>
        </w:p>
        <w:p w14:paraId="17754D9B" w14:textId="3B36DBB0" w:rsidR="00E25122" w:rsidRPr="00E25122" w:rsidRDefault="00AA0AE2">
          <w:pPr>
            <w:pStyle w:val="TOC3"/>
            <w:tabs>
              <w:tab w:val="right" w:leader="dot" w:pos="9926"/>
            </w:tabs>
            <w:rPr>
              <w:rFonts w:eastAsiaTheme="minorEastAsia"/>
              <w:noProof/>
              <w:sz w:val="20"/>
              <w:szCs w:val="20"/>
            </w:rPr>
          </w:pPr>
          <w:hyperlink w:anchor="_Toc62551060" w:history="1">
            <w:r w:rsidR="00E25122" w:rsidRPr="00E25122">
              <w:rPr>
                <w:rStyle w:val="Hyperlink"/>
                <w:rFonts w:cstheme="minorHAnsi"/>
                <w:noProof/>
                <w:sz w:val="20"/>
                <w:szCs w:val="20"/>
              </w:rPr>
              <w:t>Figure B.1: List of 2019-2021 Plan Projects After 2021 Update, with Rationales, Part 4</w:t>
            </w:r>
            <w:r w:rsidR="00E25122" w:rsidRPr="00E25122">
              <w:rPr>
                <w:noProof/>
                <w:webHidden/>
                <w:sz w:val="20"/>
                <w:szCs w:val="20"/>
              </w:rPr>
              <w:tab/>
            </w:r>
            <w:r w:rsidR="00E25122" w:rsidRPr="00E25122">
              <w:rPr>
                <w:noProof/>
                <w:webHidden/>
                <w:sz w:val="20"/>
                <w:szCs w:val="20"/>
              </w:rPr>
              <w:fldChar w:fldCharType="begin"/>
            </w:r>
            <w:r w:rsidR="00E25122" w:rsidRPr="00E25122">
              <w:rPr>
                <w:noProof/>
                <w:webHidden/>
                <w:sz w:val="20"/>
                <w:szCs w:val="20"/>
              </w:rPr>
              <w:instrText xml:space="preserve"> PAGEREF _Toc62551060 \h </w:instrText>
            </w:r>
            <w:r w:rsidR="00E25122" w:rsidRPr="00E25122">
              <w:rPr>
                <w:noProof/>
                <w:webHidden/>
                <w:sz w:val="20"/>
                <w:szCs w:val="20"/>
              </w:rPr>
            </w:r>
            <w:r w:rsidR="00E25122" w:rsidRPr="00E25122">
              <w:rPr>
                <w:noProof/>
                <w:webHidden/>
                <w:sz w:val="20"/>
                <w:szCs w:val="20"/>
              </w:rPr>
              <w:fldChar w:fldCharType="separate"/>
            </w:r>
            <w:r w:rsidR="00E25122" w:rsidRPr="00E25122">
              <w:rPr>
                <w:noProof/>
                <w:webHidden/>
                <w:sz w:val="20"/>
                <w:szCs w:val="20"/>
              </w:rPr>
              <w:t>23</w:t>
            </w:r>
            <w:r w:rsidR="00E25122" w:rsidRPr="00E25122">
              <w:rPr>
                <w:noProof/>
                <w:webHidden/>
                <w:sz w:val="20"/>
                <w:szCs w:val="20"/>
              </w:rPr>
              <w:fldChar w:fldCharType="end"/>
            </w:r>
          </w:hyperlink>
        </w:p>
        <w:p w14:paraId="610F53BA" w14:textId="0A2EEE35" w:rsidR="002C7EA7" w:rsidRPr="00E25122" w:rsidRDefault="00332D97">
          <w:pPr>
            <w:rPr>
              <w:noProof/>
              <w:sz w:val="20"/>
              <w:szCs w:val="20"/>
            </w:rPr>
          </w:pPr>
          <w:r w:rsidRPr="00E25122">
            <w:rPr>
              <w:noProof/>
              <w:sz w:val="20"/>
              <w:szCs w:val="20"/>
            </w:rPr>
            <w:fldChar w:fldCharType="end"/>
          </w:r>
        </w:p>
        <w:p w14:paraId="240BF17F" w14:textId="77777777" w:rsidR="002C7EA7" w:rsidRPr="00E25122" w:rsidRDefault="00AA0AE2" w:rsidP="00735E22">
          <w:pPr>
            <w:rPr>
              <w:sz w:val="20"/>
              <w:szCs w:val="20"/>
            </w:rPr>
          </w:pPr>
        </w:p>
      </w:sdtContent>
    </w:sdt>
    <w:p w14:paraId="793C5054" w14:textId="77777777" w:rsidR="002C7EA7" w:rsidRPr="00155C43" w:rsidRDefault="002C7EA7" w:rsidP="00B33D80">
      <w:pPr>
        <w:spacing w:after="0"/>
      </w:pPr>
    </w:p>
    <w:p w14:paraId="00031CC5" w14:textId="77777777" w:rsidR="00155C43" w:rsidRDefault="00155C43" w:rsidP="00B33D80">
      <w:pPr>
        <w:spacing w:after="0"/>
        <w:sectPr w:rsidR="00155C43" w:rsidSect="00155C43">
          <w:footerReference w:type="default" r:id="rId9"/>
          <w:pgSz w:w="12240" w:h="15840"/>
          <w:pgMar w:top="1440" w:right="1152" w:bottom="1440" w:left="1152" w:header="720" w:footer="720" w:gutter="0"/>
          <w:pgNumType w:fmt="lowerRoman" w:start="1"/>
          <w:cols w:space="720"/>
          <w:docGrid w:linePitch="360"/>
        </w:sectPr>
      </w:pPr>
    </w:p>
    <w:p w14:paraId="56697AED" w14:textId="555C518A" w:rsidR="003F0BBB" w:rsidRDefault="007B038E" w:rsidP="00155C43">
      <w:pPr>
        <w:pBdr>
          <w:bottom w:val="single" w:sz="4" w:space="1" w:color="auto"/>
        </w:pBdr>
        <w:spacing w:after="0"/>
      </w:pPr>
      <w:r w:rsidRPr="00106069">
        <w:rPr>
          <w:b/>
          <w:sz w:val="32"/>
        </w:rPr>
        <w:t xml:space="preserve">CT EEB </w:t>
      </w:r>
      <w:r w:rsidR="001B060C">
        <w:rPr>
          <w:b/>
          <w:sz w:val="32"/>
        </w:rPr>
        <w:t>202</w:t>
      </w:r>
      <w:r w:rsidR="00BF06F8">
        <w:rPr>
          <w:b/>
          <w:sz w:val="32"/>
        </w:rPr>
        <w:t>1</w:t>
      </w:r>
      <w:r w:rsidR="001B060C">
        <w:rPr>
          <w:b/>
          <w:sz w:val="32"/>
        </w:rPr>
        <w:t xml:space="preserve"> UPDATE TO THE </w:t>
      </w:r>
      <w:r w:rsidRPr="00106069">
        <w:rPr>
          <w:b/>
          <w:sz w:val="32"/>
        </w:rPr>
        <w:t>201</w:t>
      </w:r>
      <w:r>
        <w:rPr>
          <w:b/>
          <w:sz w:val="32"/>
        </w:rPr>
        <w:t>9</w:t>
      </w:r>
      <w:r w:rsidRPr="00106069">
        <w:rPr>
          <w:b/>
          <w:sz w:val="32"/>
        </w:rPr>
        <w:t>-</w:t>
      </w:r>
      <w:r>
        <w:rPr>
          <w:b/>
          <w:sz w:val="32"/>
        </w:rPr>
        <w:t>21</w:t>
      </w:r>
      <w:r w:rsidRPr="00106069">
        <w:rPr>
          <w:b/>
          <w:sz w:val="32"/>
        </w:rPr>
        <w:t xml:space="preserve"> EVALUATION </w:t>
      </w:r>
      <w:r w:rsidR="009F38DA">
        <w:rPr>
          <w:b/>
          <w:sz w:val="32"/>
        </w:rPr>
        <w:t xml:space="preserve">PLAN &amp; </w:t>
      </w:r>
      <w:r>
        <w:rPr>
          <w:b/>
          <w:sz w:val="32"/>
        </w:rPr>
        <w:t xml:space="preserve">BUDGET </w:t>
      </w:r>
    </w:p>
    <w:p w14:paraId="40CE5027" w14:textId="77777777" w:rsidR="003F0BBB" w:rsidRPr="00155C43" w:rsidRDefault="003F0BBB" w:rsidP="009F38DA">
      <w:pPr>
        <w:pStyle w:val="Heading1"/>
        <w:spacing w:before="0" w:line="247" w:lineRule="auto"/>
        <w:rPr>
          <w:sz w:val="22"/>
          <w:szCs w:val="22"/>
        </w:rPr>
      </w:pPr>
    </w:p>
    <w:p w14:paraId="4E36F3CC" w14:textId="4CB7C35B" w:rsidR="007B038E" w:rsidRDefault="009F38DA" w:rsidP="00155C43">
      <w:pPr>
        <w:pStyle w:val="Heading1"/>
        <w:spacing w:before="0" w:line="247" w:lineRule="auto"/>
      </w:pPr>
      <w:bookmarkStart w:id="0" w:name="_Toc62551036"/>
      <w:r>
        <w:t xml:space="preserve">Summary / </w:t>
      </w:r>
      <w:r w:rsidR="007B038E">
        <w:t>Abstract</w:t>
      </w:r>
      <w:bookmarkEnd w:id="0"/>
    </w:p>
    <w:p w14:paraId="189E8BEE" w14:textId="77777777" w:rsidR="003F0BBB" w:rsidRDefault="003F0BBB" w:rsidP="009F38DA">
      <w:pPr>
        <w:spacing w:after="0" w:line="247" w:lineRule="auto"/>
        <w:rPr>
          <w:iCs/>
        </w:rPr>
      </w:pPr>
    </w:p>
    <w:p w14:paraId="673A4897" w14:textId="0289B83A" w:rsidR="00352C90" w:rsidRPr="00155C43" w:rsidRDefault="001B060C" w:rsidP="00155C43">
      <w:pPr>
        <w:spacing w:after="0" w:line="247" w:lineRule="auto"/>
        <w:rPr>
          <w:iCs/>
        </w:rPr>
      </w:pPr>
      <w:r w:rsidRPr="00155C43">
        <w:rPr>
          <w:iCs/>
        </w:rPr>
        <w:t xml:space="preserve">The </w:t>
      </w:r>
      <w:r w:rsidR="007B038E" w:rsidRPr="00155C43">
        <w:rPr>
          <w:iCs/>
        </w:rPr>
        <w:t xml:space="preserve">Evaluation Administrator Team (EA Team) is pleased to submit this </w:t>
      </w:r>
      <w:r w:rsidRPr="00155C43">
        <w:rPr>
          <w:iCs/>
        </w:rPr>
        <w:t>202</w:t>
      </w:r>
      <w:r w:rsidR="00BF06F8" w:rsidRPr="00155C43">
        <w:rPr>
          <w:iCs/>
        </w:rPr>
        <w:t>1</w:t>
      </w:r>
      <w:r w:rsidRPr="00155C43">
        <w:rPr>
          <w:iCs/>
        </w:rPr>
        <w:t xml:space="preserve"> Update to the </w:t>
      </w:r>
      <w:r w:rsidR="007B038E" w:rsidRPr="00155C43">
        <w:rPr>
          <w:iCs/>
        </w:rPr>
        <w:t xml:space="preserve">recommended budget and </w:t>
      </w:r>
      <w:r w:rsidR="009D37D4" w:rsidRPr="00155C43">
        <w:rPr>
          <w:iCs/>
        </w:rPr>
        <w:t xml:space="preserve">list of </w:t>
      </w:r>
      <w:r w:rsidR="007B038E" w:rsidRPr="00155C43">
        <w:rPr>
          <w:iCs/>
        </w:rPr>
        <w:t>Evaluation Projects for the 2019-21 Cycle.  The requested evaluation budget is consistent with the total approved in the C&amp;LM plan, and the projects were discussed with stakeholders in an open and collaborative manner, with multiple opportunities for input and feedback.  The total budget requested for the Three-Year plan is $7.93 million</w:t>
      </w:r>
      <w:r w:rsidR="00ED73FE" w:rsidRPr="00155C43">
        <w:rPr>
          <w:iCs/>
        </w:rPr>
        <w:t>+$68K transferred from the previous Three-Year Plan</w:t>
      </w:r>
      <w:r w:rsidRPr="00155C43">
        <w:rPr>
          <w:iCs/>
        </w:rPr>
        <w:t>.</w:t>
      </w:r>
      <w:r w:rsidR="009D37D4" w:rsidRPr="00155C43">
        <w:rPr>
          <w:rStyle w:val="FootnoteReference"/>
          <w:iCs/>
        </w:rPr>
        <w:footnoteReference w:id="1"/>
      </w:r>
      <w:r w:rsidRPr="00155C43">
        <w:rPr>
          <w:iCs/>
        </w:rPr>
        <w:t xml:space="preserve">  </w:t>
      </w:r>
      <w:r w:rsidR="00641584" w:rsidRPr="00155C43">
        <w:rPr>
          <w:iCs/>
        </w:rPr>
        <w:t xml:space="preserve">Figure 1 presents the </w:t>
      </w:r>
      <w:r w:rsidR="00352C90" w:rsidRPr="00155C43">
        <w:rPr>
          <w:iCs/>
        </w:rPr>
        <w:t xml:space="preserve">list of recommended projects for 2021.  </w:t>
      </w:r>
    </w:p>
    <w:p w14:paraId="3810851A" w14:textId="77777777" w:rsidR="00352C90" w:rsidRPr="00155C43" w:rsidRDefault="00352C90" w:rsidP="00155C43">
      <w:pPr>
        <w:spacing w:after="0" w:line="247" w:lineRule="auto"/>
        <w:rPr>
          <w:iCs/>
        </w:rPr>
      </w:pPr>
    </w:p>
    <w:p w14:paraId="077BB38E" w14:textId="02DC1288" w:rsidR="00352C90" w:rsidRDefault="00352C90" w:rsidP="00155C43">
      <w:pPr>
        <w:pStyle w:val="Heading3"/>
        <w:rPr>
          <w:rFonts w:asciiTheme="minorHAnsi" w:hAnsiTheme="minorHAnsi" w:cstheme="minorHAnsi"/>
          <w:b/>
          <w:bCs/>
          <w:sz w:val="22"/>
          <w:szCs w:val="22"/>
        </w:rPr>
      </w:pPr>
      <w:bookmarkStart w:id="1" w:name="_Toc62551037"/>
      <w:r w:rsidRPr="00155C43">
        <w:rPr>
          <w:rFonts w:asciiTheme="minorHAnsi" w:hAnsiTheme="minorHAnsi" w:cstheme="minorHAnsi"/>
          <w:b/>
          <w:bCs/>
          <w:sz w:val="22"/>
          <w:szCs w:val="22"/>
        </w:rPr>
        <w:t>Figure 1:  2021 Projects for 2019-2021 Evaluation Plan Update</w:t>
      </w:r>
      <w:bookmarkEnd w:id="1"/>
    </w:p>
    <w:p w14:paraId="4FBFA1E1" w14:textId="61E5732A" w:rsidR="0000742F" w:rsidRPr="0000742F" w:rsidRDefault="0000742F" w:rsidP="0000742F">
      <w:r w:rsidRPr="0000742F">
        <w:rPr>
          <w:noProof/>
        </w:rPr>
        <w:drawing>
          <wp:inline distT="0" distB="0" distL="0" distR="0" wp14:anchorId="52624B4E" wp14:editId="3FB11AD7">
            <wp:extent cx="5032375" cy="487941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37253" cy="4884148"/>
                    </a:xfrm>
                    <a:prstGeom prst="rect">
                      <a:avLst/>
                    </a:prstGeom>
                    <a:noFill/>
                    <a:ln>
                      <a:noFill/>
                    </a:ln>
                  </pic:spPr>
                </pic:pic>
              </a:graphicData>
            </a:graphic>
          </wp:inline>
        </w:drawing>
      </w:r>
    </w:p>
    <w:p w14:paraId="03D9C458" w14:textId="085F6E4B" w:rsidR="00FF7B20" w:rsidRDefault="00FF7B20" w:rsidP="00FF7B20"/>
    <w:p w14:paraId="22A319C6" w14:textId="731821C9" w:rsidR="00352C90" w:rsidRPr="00155C43" w:rsidRDefault="00352C90" w:rsidP="00155C43">
      <w:pPr>
        <w:spacing w:after="0" w:line="247" w:lineRule="auto"/>
        <w:rPr>
          <w:iCs/>
        </w:rPr>
      </w:pPr>
      <w:r w:rsidRPr="00155C43">
        <w:rPr>
          <w:iCs/>
        </w:rPr>
        <w:t>Later sections of this plan provide more descriptive information regarding these projects, including rationales and key deliverables (</w:t>
      </w:r>
      <w:r w:rsidR="0060277D" w:rsidRPr="00155C43">
        <w:rPr>
          <w:iCs/>
        </w:rPr>
        <w:t>Figur</w:t>
      </w:r>
      <w:r w:rsidR="000067B0" w:rsidRPr="00155C43">
        <w:rPr>
          <w:iCs/>
        </w:rPr>
        <w:t>es 5-</w:t>
      </w:r>
      <w:r w:rsidR="00B962C0">
        <w:rPr>
          <w:iCs/>
        </w:rPr>
        <w:t>7</w:t>
      </w:r>
      <w:r w:rsidRPr="00155C43">
        <w:rPr>
          <w:iCs/>
        </w:rPr>
        <w:t xml:space="preserve">), and project description notes (Appendix </w:t>
      </w:r>
      <w:r w:rsidR="00B962C0">
        <w:rPr>
          <w:iCs/>
        </w:rPr>
        <w:t>A</w:t>
      </w:r>
      <w:r w:rsidRPr="00155C43">
        <w:rPr>
          <w:iCs/>
        </w:rPr>
        <w:t>).</w:t>
      </w:r>
      <w:r w:rsidR="0060277D" w:rsidRPr="00155C43">
        <w:rPr>
          <w:iCs/>
        </w:rPr>
        <w:t xml:space="preserve">  The list of projects not prioritized for funding are provided in Figure </w:t>
      </w:r>
      <w:r w:rsidR="000067B0" w:rsidRPr="00155C43">
        <w:rPr>
          <w:iCs/>
        </w:rPr>
        <w:t>8</w:t>
      </w:r>
      <w:r w:rsidR="0060277D" w:rsidRPr="00155C43">
        <w:rPr>
          <w:iCs/>
        </w:rPr>
        <w:t>.</w:t>
      </w:r>
    </w:p>
    <w:p w14:paraId="5A5C61E3" w14:textId="5778A995" w:rsidR="00352C90" w:rsidRPr="00155C43" w:rsidRDefault="00352C90" w:rsidP="00155C43">
      <w:pPr>
        <w:spacing w:after="0" w:line="247" w:lineRule="auto"/>
        <w:rPr>
          <w:iCs/>
        </w:rPr>
      </w:pPr>
    </w:p>
    <w:p w14:paraId="4B0EA866" w14:textId="4B567D36" w:rsidR="00FC6031" w:rsidRPr="00155C43" w:rsidRDefault="00FC6031" w:rsidP="00155C43">
      <w:pPr>
        <w:spacing w:after="0" w:line="247" w:lineRule="auto"/>
        <w:rPr>
          <w:iCs/>
        </w:rPr>
      </w:pPr>
      <w:r w:rsidRPr="00155C43">
        <w:rPr>
          <w:iCs/>
        </w:rPr>
        <w:t xml:space="preserve">Figure 2 </w:t>
      </w:r>
      <w:r w:rsidR="00CC0666" w:rsidRPr="00155C43">
        <w:rPr>
          <w:iCs/>
        </w:rPr>
        <w:t>presents</w:t>
      </w:r>
      <w:r w:rsidRPr="00155C43">
        <w:rPr>
          <w:iCs/>
        </w:rPr>
        <w:t xml:space="preserve"> the summary of the budget totals for the Three-Year Plan.  Note that the projects are consistent with the approved / adopted budget for the 2019-21 Three Year Plan. </w:t>
      </w:r>
    </w:p>
    <w:p w14:paraId="311603A8" w14:textId="34971182" w:rsidR="00FC6031" w:rsidRPr="00155C43" w:rsidRDefault="00FC6031" w:rsidP="00155C43">
      <w:pPr>
        <w:spacing w:after="0" w:line="247" w:lineRule="auto"/>
        <w:rPr>
          <w:iCs/>
        </w:rPr>
      </w:pPr>
    </w:p>
    <w:p w14:paraId="71DA22F5" w14:textId="5EFCF291" w:rsidR="00FC6031" w:rsidRDefault="00FC6031" w:rsidP="00155C43">
      <w:pPr>
        <w:pStyle w:val="Heading3"/>
        <w:spacing w:before="0" w:line="247" w:lineRule="auto"/>
        <w:rPr>
          <w:rFonts w:asciiTheme="minorHAnsi" w:hAnsiTheme="minorHAnsi" w:cstheme="minorHAnsi"/>
          <w:b/>
          <w:bCs/>
          <w:iCs/>
          <w:sz w:val="22"/>
          <w:szCs w:val="22"/>
        </w:rPr>
      </w:pPr>
      <w:bookmarkStart w:id="2" w:name="_Toc62551038"/>
      <w:r w:rsidRPr="00665F19">
        <w:rPr>
          <w:rFonts w:asciiTheme="minorHAnsi" w:hAnsiTheme="minorHAnsi" w:cstheme="minorHAnsi"/>
          <w:b/>
          <w:bCs/>
          <w:iCs/>
          <w:sz w:val="22"/>
          <w:szCs w:val="22"/>
        </w:rPr>
        <w:t>Figure 2</w:t>
      </w:r>
      <w:r w:rsidRPr="00155C43">
        <w:rPr>
          <w:rFonts w:asciiTheme="minorHAnsi" w:hAnsiTheme="minorHAnsi" w:cstheme="minorHAnsi"/>
          <w:b/>
          <w:bCs/>
          <w:iCs/>
          <w:sz w:val="22"/>
          <w:szCs w:val="22"/>
        </w:rPr>
        <w:t>:  2019-2021 Evaluation Plan Budget Contracting by Year</w:t>
      </w:r>
      <w:bookmarkEnd w:id="2"/>
    </w:p>
    <w:p w14:paraId="28F27BD2" w14:textId="5A3965F4" w:rsidR="00065A8F" w:rsidRPr="00065A8F" w:rsidRDefault="00065A8F" w:rsidP="00065A8F">
      <w:r w:rsidRPr="00065A8F">
        <w:rPr>
          <w:noProof/>
        </w:rPr>
        <w:drawing>
          <wp:inline distT="0" distB="0" distL="0" distR="0" wp14:anchorId="16E2BD27" wp14:editId="4CC5C593">
            <wp:extent cx="5495925" cy="911225"/>
            <wp:effectExtent l="0" t="0" r="9525" b="31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95925" cy="911225"/>
                    </a:xfrm>
                    <a:prstGeom prst="rect">
                      <a:avLst/>
                    </a:prstGeom>
                    <a:noFill/>
                    <a:ln>
                      <a:noFill/>
                    </a:ln>
                  </pic:spPr>
                </pic:pic>
              </a:graphicData>
            </a:graphic>
          </wp:inline>
        </w:drawing>
      </w:r>
    </w:p>
    <w:p w14:paraId="78DE86F9" w14:textId="13D5A7EB" w:rsidR="00352C90" w:rsidRPr="00155C43" w:rsidRDefault="00FC6031" w:rsidP="00665F19">
      <w:pPr>
        <w:spacing w:after="0" w:line="247" w:lineRule="auto"/>
        <w:rPr>
          <w:iCs/>
        </w:rPr>
      </w:pPr>
      <w:r w:rsidRPr="00155C43">
        <w:rPr>
          <w:b/>
          <w:bCs/>
          <w:iCs/>
        </w:rPr>
        <w:t>Input from Stakeholders:</w:t>
      </w:r>
      <w:r w:rsidRPr="00155C43">
        <w:rPr>
          <w:iCs/>
        </w:rPr>
        <w:t xml:space="preserve"> </w:t>
      </w:r>
      <w:r w:rsidR="0060277D" w:rsidRPr="00155C43">
        <w:rPr>
          <w:iCs/>
        </w:rPr>
        <w:t xml:space="preserve">The process for identifying and selecting projects involved extensive input from the Evaluation Committee and stakeholders including utility staff, Technical Consultants, and the Evaluation Administrator Team.  All contributed to the development of the project concept list participated in the discussions and identification of key outputs </w:t>
      </w:r>
      <w:r w:rsidR="00D503A1" w:rsidRPr="00155C43">
        <w:rPr>
          <w:iCs/>
        </w:rPr>
        <w:t>needed from the projects, and assessment of priorities for the concepts.  The EA Team then aggregated the information and assigned budgets, and prepared tables for further review and discussion by stakeholders. This list is consistent with those discussions.</w:t>
      </w:r>
    </w:p>
    <w:p w14:paraId="1E62862D" w14:textId="77777777" w:rsidR="00352C90" w:rsidRPr="00155C43" w:rsidRDefault="00352C90" w:rsidP="00155C43">
      <w:pPr>
        <w:spacing w:after="0" w:line="247" w:lineRule="auto"/>
        <w:rPr>
          <w:iCs/>
        </w:rPr>
      </w:pPr>
    </w:p>
    <w:p w14:paraId="0AC495EA" w14:textId="4958C8D0" w:rsidR="00352C90" w:rsidRPr="00155C43" w:rsidRDefault="00EB23EB" w:rsidP="00155C43">
      <w:pPr>
        <w:spacing w:after="0" w:line="247" w:lineRule="auto"/>
        <w:rPr>
          <w:iCs/>
        </w:rPr>
      </w:pPr>
      <w:r w:rsidRPr="00155C43">
        <w:rPr>
          <w:b/>
          <w:bCs/>
          <w:iCs/>
        </w:rPr>
        <w:t xml:space="preserve">Assign as </w:t>
      </w:r>
      <w:r w:rsidR="00FC6031" w:rsidRPr="00155C43">
        <w:rPr>
          <w:b/>
          <w:bCs/>
          <w:iCs/>
        </w:rPr>
        <w:t xml:space="preserve">Add-On </w:t>
      </w:r>
      <w:r w:rsidRPr="00155C43">
        <w:rPr>
          <w:b/>
          <w:bCs/>
          <w:iCs/>
        </w:rPr>
        <w:t xml:space="preserve">Projects </w:t>
      </w:r>
      <w:r w:rsidR="00FC6031" w:rsidRPr="00155C43">
        <w:rPr>
          <w:b/>
          <w:bCs/>
          <w:iCs/>
        </w:rPr>
        <w:t>Vs. RFP’d Projects</w:t>
      </w:r>
      <w:r w:rsidR="00FC6031" w:rsidRPr="00155C43">
        <w:rPr>
          <w:iCs/>
        </w:rPr>
        <w:t xml:space="preserve">: </w:t>
      </w:r>
      <w:r w:rsidR="00D503A1" w:rsidRPr="00155C43">
        <w:rPr>
          <w:iCs/>
        </w:rPr>
        <w:t>In a process begun in 2020, this year’s update assigns the largest number of new projects as “add-ons” to existing projects under contract in 2019 or 2020, and only a few to a full RFP process.  This step was needed because of several very practical realities, particularly associated with being in the third year of a Three-Year Plan:</w:t>
      </w:r>
    </w:p>
    <w:p w14:paraId="4A7F5013" w14:textId="3BC1F6AA" w:rsidR="00D503A1" w:rsidRPr="00155C43" w:rsidRDefault="00D503A1" w:rsidP="00155C43">
      <w:pPr>
        <w:pStyle w:val="ListParagraph"/>
        <w:numPr>
          <w:ilvl w:val="0"/>
          <w:numId w:val="21"/>
        </w:numPr>
        <w:spacing w:after="0" w:line="247" w:lineRule="auto"/>
        <w:rPr>
          <w:iCs/>
        </w:rPr>
      </w:pPr>
      <w:r w:rsidRPr="00665F19">
        <w:rPr>
          <w:iCs/>
        </w:rPr>
        <w:t xml:space="preserve">Utility contracting </w:t>
      </w:r>
      <w:r w:rsidRPr="00155C43">
        <w:rPr>
          <w:iCs/>
        </w:rPr>
        <w:t xml:space="preserve">times for one utility have become very long (extending 6-10 months over the last two years).  If significant projects were issued via an RFP, the projects would not be able to start much before the end of the year, and would not be completed in time for use in the 2022 PSD / C&amp;LM Plan work, and would be unlikely to be </w:t>
      </w:r>
      <w:r w:rsidR="00CC0666" w:rsidRPr="00155C43">
        <w:rPr>
          <w:iCs/>
        </w:rPr>
        <w:t>completed</w:t>
      </w:r>
      <w:r w:rsidRPr="00155C43">
        <w:rPr>
          <w:iCs/>
        </w:rPr>
        <w:t xml:space="preserve"> before the end of the 2019-2021 </w:t>
      </w:r>
      <w:r w:rsidR="00CC0666" w:rsidRPr="00155C43">
        <w:rPr>
          <w:iCs/>
        </w:rPr>
        <w:t>Evaluation</w:t>
      </w:r>
      <w:r w:rsidRPr="00155C43">
        <w:rPr>
          <w:iCs/>
        </w:rPr>
        <w:t xml:space="preserve"> Plan period.</w:t>
      </w:r>
    </w:p>
    <w:p w14:paraId="4772E649" w14:textId="25BA3B78" w:rsidR="00D503A1" w:rsidRPr="00155C43" w:rsidRDefault="00D503A1" w:rsidP="00155C43">
      <w:pPr>
        <w:pStyle w:val="ListParagraph"/>
        <w:numPr>
          <w:ilvl w:val="0"/>
          <w:numId w:val="21"/>
        </w:numPr>
        <w:spacing w:after="0" w:line="247" w:lineRule="auto"/>
        <w:rPr>
          <w:iCs/>
        </w:rPr>
      </w:pPr>
      <w:r w:rsidRPr="00155C43">
        <w:rPr>
          <w:iCs/>
        </w:rPr>
        <w:t xml:space="preserve">Most of the 2020 projects did not have UI contracts completed until November 30, 2020.  Therefore, these projects are just underway.  </w:t>
      </w:r>
      <w:r w:rsidR="00FC6031" w:rsidRPr="00155C43">
        <w:rPr>
          <w:iCs/>
        </w:rPr>
        <w:t>This has led to the unusual situation that these projects are in a phase that allows integration of new, related tasks or concepts into their project efforts without significant disruption.</w:t>
      </w:r>
    </w:p>
    <w:p w14:paraId="34AD4175" w14:textId="77777777" w:rsidR="00FC6031" w:rsidRPr="00155C43" w:rsidRDefault="00FC6031" w:rsidP="00665F19">
      <w:pPr>
        <w:spacing w:after="0" w:line="247" w:lineRule="auto"/>
        <w:rPr>
          <w:iCs/>
        </w:rPr>
      </w:pPr>
    </w:p>
    <w:p w14:paraId="768BF782" w14:textId="12970E39" w:rsidR="00FC6031" w:rsidRPr="00155C43" w:rsidRDefault="00FC6031" w:rsidP="00155C43">
      <w:pPr>
        <w:spacing w:after="0" w:line="247" w:lineRule="auto"/>
        <w:rPr>
          <w:iCs/>
        </w:rPr>
      </w:pPr>
      <w:r w:rsidRPr="00155C43">
        <w:rPr>
          <w:iCs/>
        </w:rPr>
        <w:t xml:space="preserve">Several smaller projects and one project expected to implement a Phase 2 in 2022, are slated for RFP.  Although timing will be difficult, </w:t>
      </w:r>
      <w:r w:rsidR="00CC0666" w:rsidRPr="00155C43">
        <w:rPr>
          <w:iCs/>
        </w:rPr>
        <w:t>consulting</w:t>
      </w:r>
      <w:r w:rsidRPr="00155C43">
        <w:rPr>
          <w:iCs/>
        </w:rPr>
        <w:t xml:space="preserve"> </w:t>
      </w:r>
      <w:r w:rsidR="00CC0666" w:rsidRPr="00155C43">
        <w:rPr>
          <w:iCs/>
        </w:rPr>
        <w:t>firms</w:t>
      </w:r>
      <w:r w:rsidRPr="00155C43">
        <w:rPr>
          <w:iCs/>
        </w:rPr>
        <w:t xml:space="preserve"> that qualitied for the Three-Year </w:t>
      </w:r>
      <w:r w:rsidR="00CC0666" w:rsidRPr="00155C43">
        <w:rPr>
          <w:iCs/>
        </w:rPr>
        <w:t>Research</w:t>
      </w:r>
      <w:r w:rsidRPr="00155C43">
        <w:rPr>
          <w:iCs/>
        </w:rPr>
        <w:t xml:space="preserve"> </w:t>
      </w:r>
      <w:r w:rsidR="00CC0666" w:rsidRPr="00155C43">
        <w:rPr>
          <w:iCs/>
        </w:rPr>
        <w:t>Area</w:t>
      </w:r>
      <w:r w:rsidRPr="00155C43">
        <w:rPr>
          <w:iCs/>
        </w:rPr>
        <w:t xml:space="preserve"> Pools in 2019 were promised they would be eligible for responding to RFPs for each of the three years of the Evaluation Plan.</w:t>
      </w:r>
    </w:p>
    <w:p w14:paraId="7BF95B7A" w14:textId="77777777" w:rsidR="00B43003" w:rsidRPr="00155C43" w:rsidRDefault="00B43003" w:rsidP="00155C43">
      <w:pPr>
        <w:spacing w:after="0" w:line="247" w:lineRule="auto"/>
        <w:rPr>
          <w:iCs/>
        </w:rPr>
      </w:pPr>
    </w:p>
    <w:p w14:paraId="56918E0B" w14:textId="5109E32E" w:rsidR="00FC6031" w:rsidRPr="00155C43" w:rsidRDefault="0AB18F95" w:rsidP="00155C43">
      <w:pPr>
        <w:spacing w:after="0" w:line="247" w:lineRule="auto"/>
      </w:pPr>
      <w:r w:rsidRPr="0AB18F95">
        <w:rPr>
          <w:b/>
          <w:bCs/>
        </w:rPr>
        <w:t>Resolving the Contracting Issue in the Future</w:t>
      </w:r>
      <w:r>
        <w:t xml:space="preserve">:  To address this very significant and debilitating contracting timing problem in the future, the EA Team and the Evaluation Committee have modified the Roadmap to return to selecting designated Research Area Teams (each consisting of multiple evaluation firms) for each of three topics (residential, commercial, and cross-cutting).  The teams will be selected via competitive RFP in Year 1 of the Three-Year Evaluation Plan, and retained for projects throughout the Three-Year Plan.  This saves contracting time and effort at the utility procurement departments, allows for more timely Evaluations, allows greater flexibility in developing projects throughout the Three-Year Plan, and increases efficiencies as the firms become experienced in CT data, procedures, and expectations. </w:t>
      </w:r>
    </w:p>
    <w:p w14:paraId="7DADB21C" w14:textId="5261206B" w:rsidR="009F38DA" w:rsidRDefault="00BA120A" w:rsidP="00155C43">
      <w:pPr>
        <w:pStyle w:val="Heading1"/>
      </w:pPr>
      <w:bookmarkStart w:id="3" w:name="_Toc62551039"/>
      <w:r>
        <w:t xml:space="preserve">Detailed </w:t>
      </w:r>
      <w:r w:rsidR="00CC0666">
        <w:t>Descriptions</w:t>
      </w:r>
      <w:r>
        <w:t xml:space="preserve"> of Process, Context and Projects for 2021 </w:t>
      </w:r>
      <w:r w:rsidR="003F0BBB">
        <w:t>Plan Update</w:t>
      </w:r>
      <w:bookmarkEnd w:id="3"/>
    </w:p>
    <w:p w14:paraId="3CAD2775" w14:textId="6D722196" w:rsidR="00B43003" w:rsidRDefault="00B43003" w:rsidP="00F26AB4">
      <w:pPr>
        <w:spacing w:after="0" w:line="247" w:lineRule="auto"/>
        <w:rPr>
          <w:iCs/>
        </w:rPr>
      </w:pPr>
    </w:p>
    <w:p w14:paraId="1599FEB7" w14:textId="5F7A14B2" w:rsidR="00BA120A" w:rsidRDefault="00CC0666" w:rsidP="00155C43">
      <w:pPr>
        <w:pStyle w:val="Heading2"/>
      </w:pPr>
      <w:bookmarkStart w:id="4" w:name="_Toc62551040"/>
      <w:r>
        <w:t>Background</w:t>
      </w:r>
      <w:r w:rsidR="00BA120A">
        <w:t xml:space="preserve"> and Process</w:t>
      </w:r>
      <w:bookmarkEnd w:id="4"/>
    </w:p>
    <w:p w14:paraId="42CCD170" w14:textId="77777777" w:rsidR="00BA120A" w:rsidRDefault="00BA120A" w:rsidP="00BA120A">
      <w:pPr>
        <w:spacing w:after="0" w:line="247" w:lineRule="auto"/>
        <w:rPr>
          <w:b/>
          <w:bCs/>
        </w:rPr>
      </w:pPr>
    </w:p>
    <w:p w14:paraId="55B38965" w14:textId="78DC9F01" w:rsidR="00BA120A" w:rsidRDefault="00BA120A" w:rsidP="00BA120A">
      <w:pPr>
        <w:spacing w:after="0" w:line="247" w:lineRule="auto"/>
      </w:pPr>
      <w:r w:rsidRPr="00F55BFC">
        <w:rPr>
          <w:b/>
          <w:bCs/>
        </w:rPr>
        <w:t>Multi-Step, Multi-Contributor Process</w:t>
      </w:r>
      <w:r>
        <w:t xml:space="preserve">:  This 2021 update to the Three-Year Plan was developed through a multi-step process.  </w:t>
      </w:r>
    </w:p>
    <w:p w14:paraId="63AAD190" w14:textId="77777777" w:rsidR="00BA120A" w:rsidRDefault="00BA120A" w:rsidP="00BA120A">
      <w:pPr>
        <w:pStyle w:val="ListParagraph"/>
        <w:numPr>
          <w:ilvl w:val="0"/>
          <w:numId w:val="20"/>
        </w:numPr>
        <w:spacing w:after="0" w:line="247" w:lineRule="auto"/>
      </w:pPr>
      <w:r>
        <w:t xml:space="preserve">Ideas were solicited from a broad list of stakeholders including members of the Evaluation Committee, EEB, Technical Consultants, and Evaluation Administrator Team.  </w:t>
      </w:r>
    </w:p>
    <w:p w14:paraId="2B367467" w14:textId="77777777" w:rsidR="00BA120A" w:rsidRDefault="00BA120A" w:rsidP="00BA120A">
      <w:pPr>
        <w:pStyle w:val="ListParagraph"/>
        <w:numPr>
          <w:ilvl w:val="0"/>
          <w:numId w:val="20"/>
        </w:numPr>
        <w:spacing w:after="0" w:line="247" w:lineRule="auto"/>
      </w:pPr>
      <w:r>
        <w:t>After several meetings with stakeholders to discuss the most important outcomes needed from the projects and factors affecting priorities</w:t>
      </w:r>
      <w:r>
        <w:rPr>
          <w:rStyle w:val="FootnoteReference"/>
        </w:rPr>
        <w:footnoteReference w:id="2"/>
      </w:r>
      <w:r>
        <w:t xml:space="preserve">, the EA Team refined project descriptions, priorities, and budgets for further discussion with the Evaluation Committee and stakeholders.  </w:t>
      </w:r>
    </w:p>
    <w:p w14:paraId="631C6D41" w14:textId="77777777" w:rsidR="00BA120A" w:rsidRDefault="00BA120A" w:rsidP="00BA120A">
      <w:pPr>
        <w:pStyle w:val="ListParagraph"/>
        <w:numPr>
          <w:ilvl w:val="0"/>
          <w:numId w:val="20"/>
        </w:numPr>
        <w:spacing w:after="0" w:line="247" w:lineRule="auto"/>
      </w:pPr>
      <w:r>
        <w:t>The results were circulated and further discussed with stakeholders.  Overall, more than six meetings were held to discuss the project options between late November and mid-January.  These meetings were attended by members of the Committee and various stakeholder groups to help make the project content as robust and useful as possible, and to clarify priorities.  These discussions were key to the development of this Plan update.</w:t>
      </w:r>
    </w:p>
    <w:p w14:paraId="54984EA6" w14:textId="77777777" w:rsidR="00BA120A" w:rsidRDefault="00BA120A" w:rsidP="00BA120A">
      <w:pPr>
        <w:spacing w:after="0" w:line="247" w:lineRule="auto"/>
      </w:pPr>
    </w:p>
    <w:p w14:paraId="2CD2DA8D" w14:textId="4145E986" w:rsidR="00BA120A" w:rsidRPr="00F55BFC" w:rsidRDefault="00BA120A" w:rsidP="00BA120A">
      <w:pPr>
        <w:spacing w:after="0" w:line="247" w:lineRule="auto"/>
        <w:rPr>
          <w:iCs/>
        </w:rPr>
      </w:pPr>
      <w:r w:rsidRPr="00F55BFC">
        <w:rPr>
          <w:b/>
          <w:bCs/>
          <w:iCs/>
        </w:rPr>
        <w:t>Project Timing and Workload Complications</w:t>
      </w:r>
      <w:r w:rsidRPr="00F55BFC">
        <w:rPr>
          <w:iCs/>
        </w:rPr>
        <w:t xml:space="preserve">:  As mentioned, many of the projects contracted in 2019 only began spending significant funds at the very end of 2019, and the 2020 projects did not get contracted by UI until the end of November 2020.  Of course, </w:t>
      </w:r>
      <w:r w:rsidR="00CC0666" w:rsidRPr="00F55BFC">
        <w:rPr>
          <w:iCs/>
        </w:rPr>
        <w:t>additional</w:t>
      </w:r>
      <w:r w:rsidRPr="00F55BFC">
        <w:rPr>
          <w:iCs/>
        </w:rPr>
        <w:t xml:space="preserve"> difficulties and delays were experienced as a </w:t>
      </w:r>
      <w:r w:rsidR="00CC0666" w:rsidRPr="00F55BFC">
        <w:rPr>
          <w:iCs/>
        </w:rPr>
        <w:t>consequence</w:t>
      </w:r>
      <w:r w:rsidRPr="00F55BFC">
        <w:rPr>
          <w:iCs/>
        </w:rPr>
        <w:t xml:space="preserve"> of </w:t>
      </w:r>
      <w:r w:rsidR="00CC0666" w:rsidRPr="00F55BFC">
        <w:rPr>
          <w:iCs/>
        </w:rPr>
        <w:t>COVID-19</w:t>
      </w:r>
      <w:r w:rsidRPr="00F55BFC">
        <w:rPr>
          <w:iCs/>
        </w:rPr>
        <w:t xml:space="preserve"> and its </w:t>
      </w:r>
      <w:r w:rsidR="00CC0666" w:rsidRPr="00F55BFC">
        <w:rPr>
          <w:iCs/>
        </w:rPr>
        <w:t>restrictions</w:t>
      </w:r>
      <w:r w:rsidRPr="00F55BFC">
        <w:rPr>
          <w:iCs/>
        </w:rPr>
        <w:t xml:space="preserve"> on fieldwork and other types of disruptions in the marketplace.  </w:t>
      </w:r>
    </w:p>
    <w:p w14:paraId="301729D7" w14:textId="77777777" w:rsidR="00BA120A" w:rsidRPr="00F55BFC" w:rsidRDefault="00BA120A" w:rsidP="00BA120A">
      <w:pPr>
        <w:spacing w:after="0" w:line="247" w:lineRule="auto"/>
        <w:rPr>
          <w:iCs/>
        </w:rPr>
      </w:pPr>
    </w:p>
    <w:p w14:paraId="03ACF60D" w14:textId="6F42D169" w:rsidR="00BA120A" w:rsidRPr="00F55BFC" w:rsidRDefault="00BA120A" w:rsidP="00BA120A">
      <w:pPr>
        <w:spacing w:after="0" w:line="247" w:lineRule="auto"/>
        <w:rPr>
          <w:iCs/>
        </w:rPr>
      </w:pPr>
      <w:r w:rsidRPr="00F55BFC">
        <w:rPr>
          <w:iCs/>
        </w:rPr>
        <w:t>A project “add-on” process, incorp</w:t>
      </w:r>
      <w:r w:rsidR="00CC0666">
        <w:rPr>
          <w:iCs/>
        </w:rPr>
        <w:t>o</w:t>
      </w:r>
      <w:r w:rsidRPr="00F55BFC">
        <w:rPr>
          <w:iCs/>
        </w:rPr>
        <w:t>r</w:t>
      </w:r>
      <w:r w:rsidR="00CC0666">
        <w:rPr>
          <w:iCs/>
        </w:rPr>
        <w:t>at</w:t>
      </w:r>
      <w:r w:rsidRPr="00F55BFC">
        <w:rPr>
          <w:iCs/>
        </w:rPr>
        <w:t>ing new tasks into already-contracted projects and contractors, was developed to improve the chances the work could begin quickly (without the long contracting delays) and allow more projects to complete in time for use in the 2021 C&amp;LM Plan update and/or within the 2019-2021 timeframe.  However, note that these issues have also led to a cascading increase of efforts required for the EA Team, as projects that were expected to complete in Year 1 or Year 2 have signifi</w:t>
      </w:r>
      <w:r w:rsidR="00CC0666">
        <w:rPr>
          <w:iCs/>
        </w:rPr>
        <w:t>ca</w:t>
      </w:r>
      <w:r w:rsidRPr="00F55BFC">
        <w:rPr>
          <w:iCs/>
        </w:rPr>
        <w:t xml:space="preserve">nt work shifted to Year 3.  This leads to an unexpected increase in EA Team and </w:t>
      </w:r>
      <w:r w:rsidR="00CC0666" w:rsidRPr="00F55BFC">
        <w:rPr>
          <w:iCs/>
        </w:rPr>
        <w:t>Evaluation</w:t>
      </w:r>
      <w:r w:rsidRPr="00F55BFC">
        <w:rPr>
          <w:iCs/>
        </w:rPr>
        <w:t xml:space="preserve"> Committee review time in 2021 because more-than-</w:t>
      </w:r>
      <w:r w:rsidR="00CC0666" w:rsidRPr="00F55BFC">
        <w:rPr>
          <w:iCs/>
        </w:rPr>
        <w:t>expected</w:t>
      </w:r>
      <w:r w:rsidRPr="00F55BFC">
        <w:rPr>
          <w:iCs/>
        </w:rPr>
        <w:t xml:space="preserve"> </w:t>
      </w:r>
      <w:r w:rsidR="00CC0666" w:rsidRPr="00F55BFC">
        <w:rPr>
          <w:iCs/>
        </w:rPr>
        <w:t>numbers</w:t>
      </w:r>
      <w:r w:rsidRPr="00F55BFC">
        <w:rPr>
          <w:iCs/>
        </w:rPr>
        <w:t xml:space="preserve"> of projects will be working to be completed by the end of the Three-Year Plan.  In addition, spending and contractor </w:t>
      </w:r>
      <w:r w:rsidR="00CC0666" w:rsidRPr="00F55BFC">
        <w:rPr>
          <w:iCs/>
        </w:rPr>
        <w:t>efforts</w:t>
      </w:r>
      <w:r w:rsidRPr="00F55BFC">
        <w:rPr>
          <w:iCs/>
        </w:rPr>
        <w:t xml:space="preserve"> have also become “backloaded” within the Three-Year Plan period.  The significant delays in the 2019 and 2020 contracting processes have several </w:t>
      </w:r>
      <w:r w:rsidR="00CC0666" w:rsidRPr="00F55BFC">
        <w:rPr>
          <w:iCs/>
        </w:rPr>
        <w:t>specific</w:t>
      </w:r>
      <w:r w:rsidRPr="00F55BFC">
        <w:rPr>
          <w:iCs/>
        </w:rPr>
        <w:t xml:space="preserve"> consequences.  </w:t>
      </w:r>
    </w:p>
    <w:p w14:paraId="1D67F524" w14:textId="77777777" w:rsidR="00BA120A" w:rsidRPr="00F55BFC" w:rsidRDefault="00BA120A" w:rsidP="00BA120A">
      <w:pPr>
        <w:pStyle w:val="ListParagraph"/>
        <w:numPr>
          <w:ilvl w:val="0"/>
          <w:numId w:val="19"/>
        </w:numPr>
        <w:spacing w:after="0" w:line="247" w:lineRule="auto"/>
        <w:rPr>
          <w:iCs/>
        </w:rPr>
      </w:pPr>
      <w:r w:rsidRPr="00F55BFC">
        <w:rPr>
          <w:iCs/>
        </w:rPr>
        <w:t xml:space="preserve">This means spending in 2019 and 2020 were less than expected, and projects are behind the Three-Year Plan.  </w:t>
      </w:r>
    </w:p>
    <w:p w14:paraId="38342432" w14:textId="77777777" w:rsidR="00BA120A" w:rsidRPr="00F55BFC" w:rsidRDefault="00BA120A" w:rsidP="00BA120A">
      <w:pPr>
        <w:pStyle w:val="ListParagraph"/>
        <w:numPr>
          <w:ilvl w:val="0"/>
          <w:numId w:val="19"/>
        </w:numPr>
        <w:spacing w:after="0" w:line="247" w:lineRule="auto"/>
        <w:rPr>
          <w:iCs/>
        </w:rPr>
      </w:pPr>
      <w:r w:rsidRPr="00F55BFC">
        <w:rPr>
          <w:iCs/>
        </w:rPr>
        <w:t xml:space="preserve">It also means the workload for 2021 is expected to be much higher than expected.  </w:t>
      </w:r>
    </w:p>
    <w:p w14:paraId="435D5BE5" w14:textId="77777777" w:rsidR="00BA120A" w:rsidRPr="00F55BFC" w:rsidRDefault="00BA120A" w:rsidP="00BA120A">
      <w:pPr>
        <w:pStyle w:val="ListParagraph"/>
        <w:numPr>
          <w:ilvl w:val="0"/>
          <w:numId w:val="19"/>
        </w:numPr>
        <w:spacing w:after="0" w:line="247" w:lineRule="auto"/>
        <w:rPr>
          <w:iCs/>
        </w:rPr>
      </w:pPr>
      <w:r w:rsidRPr="00F55BFC">
        <w:rPr>
          <w:iCs/>
        </w:rPr>
        <w:t xml:space="preserve">As a further result, we note it is very possible a number of projects may not be able to finish within the Three-Year Plan, providing less input than expected into the 2022 PSD and C&amp;LM work, and evaluations that are less timely than originally planned.  </w:t>
      </w:r>
    </w:p>
    <w:p w14:paraId="6F9B2FD6" w14:textId="77777777" w:rsidR="00BA120A" w:rsidRPr="00F55BFC" w:rsidRDefault="00BA120A" w:rsidP="00BA120A">
      <w:pPr>
        <w:pStyle w:val="ListParagraph"/>
        <w:numPr>
          <w:ilvl w:val="0"/>
          <w:numId w:val="19"/>
        </w:numPr>
        <w:spacing w:after="0" w:line="247" w:lineRule="auto"/>
        <w:rPr>
          <w:iCs/>
        </w:rPr>
      </w:pPr>
      <w:r w:rsidRPr="00F55BFC">
        <w:rPr>
          <w:iCs/>
        </w:rPr>
        <w:t xml:space="preserve">It also indicates a need to carry over projects, workload, and budgets into 2022.    </w:t>
      </w:r>
    </w:p>
    <w:p w14:paraId="2F87282B" w14:textId="77777777" w:rsidR="00BA120A" w:rsidRPr="00F55BFC" w:rsidRDefault="00BA120A" w:rsidP="00BA120A">
      <w:pPr>
        <w:spacing w:after="0" w:line="247" w:lineRule="auto"/>
        <w:rPr>
          <w:iCs/>
        </w:rPr>
      </w:pPr>
    </w:p>
    <w:p w14:paraId="6F1CC42C" w14:textId="5FA90CB4" w:rsidR="00BA120A" w:rsidRPr="00F55BFC" w:rsidRDefault="00BA120A" w:rsidP="00BA120A">
      <w:pPr>
        <w:spacing w:after="0" w:line="247" w:lineRule="auto"/>
        <w:rPr>
          <w:iCs/>
        </w:rPr>
      </w:pPr>
      <w:r w:rsidRPr="00F55BFC">
        <w:rPr>
          <w:iCs/>
        </w:rPr>
        <w:t xml:space="preserve">As mentioned, revised </w:t>
      </w:r>
      <w:r w:rsidR="00CC0666" w:rsidRPr="00F55BFC">
        <w:rPr>
          <w:iCs/>
        </w:rPr>
        <w:t>contracting</w:t>
      </w:r>
      <w:r w:rsidRPr="00F55BFC">
        <w:rPr>
          <w:iCs/>
        </w:rPr>
        <w:t xml:space="preserve"> procedures are planned starting in 2022, reflected in the Roadmap, which is just </w:t>
      </w:r>
      <w:r w:rsidR="00CC0666" w:rsidRPr="00F55BFC">
        <w:rPr>
          <w:iCs/>
        </w:rPr>
        <w:t>completing</w:t>
      </w:r>
      <w:r w:rsidRPr="00F55BFC">
        <w:rPr>
          <w:iCs/>
        </w:rPr>
        <w:t xml:space="preserve"> its revision process.  Also note that three projects are expected to be included in the RFP to be issued as soon as possible in 2021.  The 2019 RFP</w:t>
      </w:r>
      <w:r w:rsidRPr="00F55BFC">
        <w:rPr>
          <w:rStyle w:val="FootnoteReference"/>
          <w:iCs/>
        </w:rPr>
        <w:footnoteReference w:id="3"/>
      </w:r>
      <w:r w:rsidRPr="00F55BFC">
        <w:rPr>
          <w:iCs/>
        </w:rPr>
        <w:t xml:space="preserve"> process assembled a pool of qualified contractors.  They were assured that becoming part of that pool made them eligible for RFPs to be issued each of the three years of the Plan.  Note, however, that because of contracting issues (and the impending end of the Three-Year period) and because of COVID-19, most of the RFP-selected projects avoid primary data collection and are short-duration projects.</w:t>
      </w:r>
    </w:p>
    <w:p w14:paraId="3D9EC1EC" w14:textId="77777777" w:rsidR="00BA120A" w:rsidRPr="00F26AB4" w:rsidRDefault="00BA120A" w:rsidP="00BA120A">
      <w:pPr>
        <w:spacing w:after="0" w:line="247" w:lineRule="auto"/>
        <w:rPr>
          <w:b/>
          <w:sz w:val="12"/>
          <w:szCs w:val="12"/>
        </w:rPr>
      </w:pPr>
    </w:p>
    <w:p w14:paraId="026AC457" w14:textId="54FB0084" w:rsidR="00BA120A" w:rsidRDefault="00BA120A" w:rsidP="00F26AB4">
      <w:pPr>
        <w:spacing w:after="0" w:line="247" w:lineRule="auto"/>
        <w:rPr>
          <w:iCs/>
        </w:rPr>
      </w:pPr>
    </w:p>
    <w:p w14:paraId="3B5692AA" w14:textId="4169E59A" w:rsidR="00BA120A" w:rsidRPr="00F55BFC" w:rsidRDefault="00BA120A" w:rsidP="00BA120A">
      <w:pPr>
        <w:pStyle w:val="Heading2"/>
      </w:pPr>
      <w:bookmarkStart w:id="5" w:name="_Toc62551041"/>
      <w:r w:rsidRPr="00F55BFC">
        <w:t xml:space="preserve">The 2021 Projects in the Context of the Three-Year 2019-2021 </w:t>
      </w:r>
      <w:r w:rsidR="00CC0666" w:rsidRPr="00F55BFC">
        <w:t>Evaluation</w:t>
      </w:r>
      <w:r w:rsidRPr="00F55BFC">
        <w:t xml:space="preserve"> Plan</w:t>
      </w:r>
      <w:bookmarkEnd w:id="5"/>
    </w:p>
    <w:p w14:paraId="3C4FA9AA" w14:textId="572CA3D7" w:rsidR="00BA120A" w:rsidRDefault="00BA120A" w:rsidP="00F26AB4">
      <w:pPr>
        <w:spacing w:after="0" w:line="247" w:lineRule="auto"/>
        <w:rPr>
          <w:iCs/>
        </w:rPr>
      </w:pPr>
    </w:p>
    <w:p w14:paraId="45311FA3" w14:textId="03A711CB" w:rsidR="009F38DA" w:rsidRPr="00155C43" w:rsidRDefault="003F0BBB" w:rsidP="009F38DA">
      <w:pPr>
        <w:spacing w:after="0" w:line="247" w:lineRule="auto"/>
        <w:rPr>
          <w:bCs/>
        </w:rPr>
      </w:pPr>
      <w:r>
        <w:rPr>
          <w:bCs/>
        </w:rPr>
        <w:t xml:space="preserve">The </w:t>
      </w:r>
      <w:r w:rsidR="00CC0666">
        <w:rPr>
          <w:bCs/>
        </w:rPr>
        <w:t>remainder</w:t>
      </w:r>
      <w:r>
        <w:rPr>
          <w:bCs/>
        </w:rPr>
        <w:t xml:space="preserve"> of the </w:t>
      </w:r>
      <w:r w:rsidR="00CC0666">
        <w:rPr>
          <w:bCs/>
        </w:rPr>
        <w:t>chapter</w:t>
      </w:r>
      <w:r>
        <w:rPr>
          <w:bCs/>
        </w:rPr>
        <w:t xml:space="preserve"> discusses the 2021 </w:t>
      </w:r>
      <w:r w:rsidR="00CC0666">
        <w:rPr>
          <w:bCs/>
        </w:rPr>
        <w:t>projects</w:t>
      </w:r>
      <w:r>
        <w:rPr>
          <w:bCs/>
        </w:rPr>
        <w:t xml:space="preserve"> and the overall disposition of </w:t>
      </w:r>
      <w:r w:rsidR="00CC0666">
        <w:rPr>
          <w:bCs/>
        </w:rPr>
        <w:t>projects</w:t>
      </w:r>
      <w:r>
        <w:rPr>
          <w:bCs/>
        </w:rPr>
        <w:t xml:space="preserve"> and </w:t>
      </w:r>
      <w:r w:rsidR="00CC0666">
        <w:rPr>
          <w:bCs/>
        </w:rPr>
        <w:t>budgets</w:t>
      </w:r>
      <w:r>
        <w:rPr>
          <w:bCs/>
        </w:rPr>
        <w:t xml:space="preserve"> in the overall 2019-2021 Plan, as implemented.  </w:t>
      </w:r>
      <w:r w:rsidR="009F38DA" w:rsidRPr="00155C43">
        <w:rPr>
          <w:bCs/>
        </w:rPr>
        <w:t xml:space="preserve">Figure </w:t>
      </w:r>
      <w:r w:rsidR="009F38DA">
        <w:rPr>
          <w:bCs/>
        </w:rPr>
        <w:t>3</w:t>
      </w:r>
      <w:r w:rsidR="009F38DA" w:rsidRPr="00155C43">
        <w:rPr>
          <w:bCs/>
        </w:rPr>
        <w:t xml:space="preserve"> identifies the distribution of projects by sector across </w:t>
      </w:r>
      <w:r w:rsidR="00CC0666" w:rsidRPr="00155C43">
        <w:rPr>
          <w:bCs/>
        </w:rPr>
        <w:t>the</w:t>
      </w:r>
      <w:r w:rsidR="009F38DA" w:rsidRPr="00155C43">
        <w:rPr>
          <w:bCs/>
        </w:rPr>
        <w:t xml:space="preserve"> Three-Year Plan.  The counts of projects increased a bit, incorporating the net of new </w:t>
      </w:r>
      <w:r w:rsidR="00CC0666" w:rsidRPr="00155C43">
        <w:rPr>
          <w:bCs/>
        </w:rPr>
        <w:t>project</w:t>
      </w:r>
      <w:r w:rsidR="009F38DA" w:rsidRPr="00155C43">
        <w:rPr>
          <w:bCs/>
        </w:rPr>
        <w:t xml:space="preserve"> </w:t>
      </w:r>
      <w:r w:rsidR="00CC0666" w:rsidRPr="00155C43">
        <w:rPr>
          <w:bCs/>
        </w:rPr>
        <w:t>concepts</w:t>
      </w:r>
      <w:r w:rsidR="009F38DA" w:rsidRPr="00155C43">
        <w:rPr>
          <w:bCs/>
        </w:rPr>
        <w:t xml:space="preserve"> (some of which became new projects, and others that were </w:t>
      </w:r>
      <w:r w:rsidR="00CC0666" w:rsidRPr="00155C43">
        <w:rPr>
          <w:bCs/>
        </w:rPr>
        <w:t>integrated</w:t>
      </w:r>
      <w:r w:rsidR="009F38DA" w:rsidRPr="00155C43">
        <w:rPr>
          <w:bCs/>
        </w:rPr>
        <w:t xml:space="preserve"> into </w:t>
      </w:r>
      <w:r w:rsidR="00CC0666" w:rsidRPr="00155C43">
        <w:rPr>
          <w:bCs/>
        </w:rPr>
        <w:t>existing</w:t>
      </w:r>
      <w:r w:rsidR="009F38DA" w:rsidRPr="00155C43">
        <w:rPr>
          <w:bCs/>
        </w:rPr>
        <w:t xml:space="preserve"> projects), and </w:t>
      </w:r>
      <w:r w:rsidR="00CC0666" w:rsidRPr="00155C43">
        <w:rPr>
          <w:bCs/>
        </w:rPr>
        <w:t>combination</w:t>
      </w:r>
      <w:r w:rsidR="009F38DA" w:rsidRPr="00155C43">
        <w:rPr>
          <w:bCs/>
        </w:rPr>
        <w:t xml:space="preserve"> of other projects originally separated within the Adopted 2019-21 Plan.  Note that two large C&amp;I </w:t>
      </w:r>
      <w:r w:rsidR="00CC0666" w:rsidRPr="00155C43">
        <w:rPr>
          <w:bCs/>
        </w:rPr>
        <w:t>projects</w:t>
      </w:r>
      <w:r w:rsidR="009F38DA" w:rsidRPr="00155C43">
        <w:rPr>
          <w:bCs/>
        </w:rPr>
        <w:t xml:space="preserve"> that </w:t>
      </w:r>
      <w:r w:rsidR="00CC0666" w:rsidRPr="00155C43">
        <w:rPr>
          <w:bCs/>
        </w:rPr>
        <w:t>were</w:t>
      </w:r>
      <w:r w:rsidR="009F38DA" w:rsidRPr="00155C43">
        <w:rPr>
          <w:bCs/>
        </w:rPr>
        <w:t xml:space="preserve"> </w:t>
      </w:r>
      <w:r w:rsidR="00CC0666" w:rsidRPr="00155C43">
        <w:rPr>
          <w:bCs/>
        </w:rPr>
        <w:t>expected</w:t>
      </w:r>
      <w:r w:rsidR="009F38DA" w:rsidRPr="00155C43">
        <w:rPr>
          <w:bCs/>
        </w:rPr>
        <w:t xml:space="preserve"> to be started in the 2019-2021 Plan were delayed to the next Plan period.  The </w:t>
      </w:r>
      <w:r w:rsidR="00CC0666" w:rsidRPr="00155C43">
        <w:rPr>
          <w:bCs/>
        </w:rPr>
        <w:t>timing</w:t>
      </w:r>
      <w:r w:rsidR="009F38DA" w:rsidRPr="00155C43">
        <w:rPr>
          <w:bCs/>
        </w:rPr>
        <w:t xml:space="preserve"> of the completion of a previous round of C&amp;I impact evaluation projects allows a delay of the start of several C&amp;I projects into the next Three-Year evaluation plan yet still meet the 5-year cycle needed to comply with the ISO-FCM requirements (a shift of $940K into the next Three-Year Plan).  Some of these funds were applied to significant C&amp;I customer </w:t>
      </w:r>
      <w:r w:rsidR="00CC0666" w:rsidRPr="00155C43">
        <w:rPr>
          <w:bCs/>
        </w:rPr>
        <w:t>equity</w:t>
      </w:r>
      <w:r w:rsidR="009F38DA" w:rsidRPr="00155C43">
        <w:rPr>
          <w:bCs/>
        </w:rPr>
        <w:t xml:space="preserve"> / profiling </w:t>
      </w:r>
      <w:r w:rsidR="00CC0666" w:rsidRPr="00155C43">
        <w:rPr>
          <w:bCs/>
        </w:rPr>
        <w:t>efforts</w:t>
      </w:r>
      <w:r w:rsidR="009F38DA" w:rsidRPr="00155C43">
        <w:rPr>
          <w:bCs/>
        </w:rPr>
        <w:t xml:space="preserve">, which became an </w:t>
      </w:r>
      <w:r w:rsidR="00CC0666" w:rsidRPr="00155C43">
        <w:rPr>
          <w:bCs/>
        </w:rPr>
        <w:t>increasing</w:t>
      </w:r>
      <w:r w:rsidR="009F38DA" w:rsidRPr="00155C43">
        <w:rPr>
          <w:bCs/>
        </w:rPr>
        <w:t xml:space="preserve"> focus over the Three-Year </w:t>
      </w:r>
      <w:r w:rsidR="00CC0666" w:rsidRPr="00155C43">
        <w:rPr>
          <w:bCs/>
        </w:rPr>
        <w:t>period</w:t>
      </w:r>
      <w:r w:rsidR="009F38DA" w:rsidRPr="00155C43">
        <w:rPr>
          <w:bCs/>
        </w:rPr>
        <w:t xml:space="preserve">.   </w:t>
      </w:r>
    </w:p>
    <w:p w14:paraId="08977A79" w14:textId="77777777" w:rsidR="009F38DA" w:rsidRPr="00F26AB4" w:rsidRDefault="009F38DA" w:rsidP="009F38DA">
      <w:pPr>
        <w:spacing w:after="0" w:line="247" w:lineRule="auto"/>
        <w:rPr>
          <w:b/>
          <w:sz w:val="12"/>
          <w:szCs w:val="12"/>
        </w:rPr>
      </w:pPr>
      <w:r w:rsidRPr="00F26AB4">
        <w:rPr>
          <w:b/>
        </w:rPr>
        <w:t xml:space="preserve"> </w:t>
      </w:r>
    </w:p>
    <w:p w14:paraId="364227A9" w14:textId="63FD17B0" w:rsidR="009F38DA" w:rsidRDefault="009F38DA" w:rsidP="009F38DA">
      <w:pPr>
        <w:pStyle w:val="Heading3"/>
        <w:rPr>
          <w:rFonts w:asciiTheme="minorHAnsi" w:hAnsiTheme="minorHAnsi" w:cstheme="minorHAnsi"/>
          <w:b/>
          <w:bCs/>
          <w:sz w:val="22"/>
          <w:szCs w:val="22"/>
        </w:rPr>
      </w:pPr>
      <w:bookmarkStart w:id="6" w:name="_Toc62551042"/>
      <w:r w:rsidRPr="00F55BFC">
        <w:rPr>
          <w:rFonts w:asciiTheme="minorHAnsi" w:hAnsiTheme="minorHAnsi" w:cstheme="minorHAnsi"/>
          <w:b/>
          <w:bCs/>
          <w:sz w:val="22"/>
          <w:szCs w:val="22"/>
        </w:rPr>
        <w:t xml:space="preserve">Figure </w:t>
      </w:r>
      <w:r>
        <w:rPr>
          <w:rFonts w:asciiTheme="minorHAnsi" w:hAnsiTheme="minorHAnsi" w:cstheme="minorHAnsi"/>
          <w:b/>
          <w:bCs/>
          <w:sz w:val="22"/>
          <w:szCs w:val="22"/>
        </w:rPr>
        <w:t>3</w:t>
      </w:r>
      <w:r w:rsidRPr="00F55BFC">
        <w:rPr>
          <w:rFonts w:asciiTheme="minorHAnsi" w:hAnsiTheme="minorHAnsi" w:cstheme="minorHAnsi"/>
          <w:b/>
          <w:bCs/>
          <w:sz w:val="22"/>
          <w:szCs w:val="22"/>
        </w:rPr>
        <w:t>:  Evaluation Plan Budget and Project Counts by Sector</w:t>
      </w:r>
      <w:bookmarkEnd w:id="6"/>
    </w:p>
    <w:p w14:paraId="7F82B48B" w14:textId="501EF057" w:rsidR="004E1B60" w:rsidRDefault="004E1B60" w:rsidP="004E1B60">
      <w:r w:rsidRPr="004E1B60">
        <w:rPr>
          <w:noProof/>
        </w:rPr>
        <w:drawing>
          <wp:inline distT="0" distB="0" distL="0" distR="0" wp14:anchorId="4EC550BB" wp14:editId="3235AC47">
            <wp:extent cx="3616325" cy="1724025"/>
            <wp:effectExtent l="0" t="0" r="317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16325" cy="1724025"/>
                    </a:xfrm>
                    <a:prstGeom prst="rect">
                      <a:avLst/>
                    </a:prstGeom>
                    <a:noFill/>
                    <a:ln>
                      <a:noFill/>
                    </a:ln>
                  </pic:spPr>
                </pic:pic>
              </a:graphicData>
            </a:graphic>
          </wp:inline>
        </w:drawing>
      </w:r>
    </w:p>
    <w:p w14:paraId="4A99E4A1" w14:textId="77777777" w:rsidR="00CC6591" w:rsidRPr="00CC6591" w:rsidRDefault="00CC6591" w:rsidP="00CC6591">
      <w:pPr>
        <w:spacing w:after="0" w:line="240" w:lineRule="auto"/>
        <w:rPr>
          <w:i/>
          <w:iCs/>
        </w:rPr>
      </w:pPr>
    </w:p>
    <w:p w14:paraId="41111C72" w14:textId="7ABFBD51" w:rsidR="00BA120A" w:rsidRPr="00665F19" w:rsidRDefault="00BA120A" w:rsidP="00155C43">
      <w:pPr>
        <w:pStyle w:val="Heading2"/>
      </w:pPr>
      <w:bookmarkStart w:id="7" w:name="_Toc62551043"/>
      <w:r>
        <w:t xml:space="preserve">Contents of the Remainder of the </w:t>
      </w:r>
      <w:r w:rsidR="003F0BBB">
        <w:t>Plan Update</w:t>
      </w:r>
      <w:bookmarkEnd w:id="7"/>
    </w:p>
    <w:p w14:paraId="2A8125B0" w14:textId="61B8D95A" w:rsidR="00641584" w:rsidRPr="00F26AB4" w:rsidRDefault="00641584" w:rsidP="00F26AB4">
      <w:pPr>
        <w:spacing w:after="0" w:line="247" w:lineRule="auto"/>
        <w:rPr>
          <w:b/>
          <w:sz w:val="12"/>
          <w:szCs w:val="12"/>
        </w:rPr>
      </w:pPr>
    </w:p>
    <w:p w14:paraId="5F529119" w14:textId="42279A01" w:rsidR="00BA120A" w:rsidRDefault="00BA120A" w:rsidP="00F26AB4">
      <w:pPr>
        <w:spacing w:after="0" w:line="247" w:lineRule="auto"/>
        <w:rPr>
          <w:bCs/>
        </w:rPr>
      </w:pPr>
      <w:r w:rsidRPr="00155C43">
        <w:rPr>
          <w:bCs/>
        </w:rPr>
        <w:t xml:space="preserve">The remainder of the report </w:t>
      </w:r>
      <w:r w:rsidR="00CC0666" w:rsidRPr="00155C43">
        <w:rPr>
          <w:bCs/>
        </w:rPr>
        <w:t>consists</w:t>
      </w:r>
      <w:r w:rsidRPr="00155C43">
        <w:rPr>
          <w:bCs/>
        </w:rPr>
        <w:t xml:space="preserve"> of Figures and Appendices.  </w:t>
      </w:r>
    </w:p>
    <w:p w14:paraId="63F2D188" w14:textId="47F79045" w:rsidR="00BA120A" w:rsidRDefault="00BA120A" w:rsidP="00BA120A">
      <w:pPr>
        <w:pStyle w:val="ListParagraph"/>
        <w:numPr>
          <w:ilvl w:val="0"/>
          <w:numId w:val="22"/>
        </w:numPr>
        <w:spacing w:after="0" w:line="247" w:lineRule="auto"/>
        <w:rPr>
          <w:bCs/>
        </w:rPr>
      </w:pPr>
      <w:r>
        <w:rPr>
          <w:bCs/>
        </w:rPr>
        <w:t xml:space="preserve">Figure 4 </w:t>
      </w:r>
      <w:r w:rsidR="003F0BBB">
        <w:rPr>
          <w:bCs/>
        </w:rPr>
        <w:t>in the following pages</w:t>
      </w:r>
      <w:r>
        <w:rPr>
          <w:bCs/>
        </w:rPr>
        <w:t xml:space="preserve"> lists all projects implemented under the </w:t>
      </w:r>
      <w:r w:rsidR="00CC0666">
        <w:rPr>
          <w:bCs/>
        </w:rPr>
        <w:t>Three-Year</w:t>
      </w:r>
      <w:r>
        <w:rPr>
          <w:bCs/>
        </w:rPr>
        <w:t xml:space="preserve"> Plan by year of contracting, and also </w:t>
      </w:r>
      <w:r w:rsidR="00CC0666">
        <w:rPr>
          <w:bCs/>
        </w:rPr>
        <w:t>identifies</w:t>
      </w:r>
      <w:r>
        <w:rPr>
          <w:bCs/>
        </w:rPr>
        <w:t xml:space="preserve"> those </w:t>
      </w:r>
      <w:r w:rsidR="00CC0666">
        <w:rPr>
          <w:bCs/>
        </w:rPr>
        <w:t>projects</w:t>
      </w:r>
      <w:r>
        <w:rPr>
          <w:bCs/>
        </w:rPr>
        <w:t xml:space="preserve"> that were part of the initial Three-Year Plan, and those added.</w:t>
      </w:r>
    </w:p>
    <w:p w14:paraId="276B3FA3" w14:textId="1B43AC42" w:rsidR="00BA120A" w:rsidRDefault="00BA120A" w:rsidP="00BA120A">
      <w:pPr>
        <w:pStyle w:val="ListParagraph"/>
        <w:numPr>
          <w:ilvl w:val="0"/>
          <w:numId w:val="22"/>
        </w:numPr>
        <w:spacing w:after="0" w:line="247" w:lineRule="auto"/>
        <w:rPr>
          <w:bCs/>
        </w:rPr>
      </w:pPr>
      <w:r>
        <w:rPr>
          <w:bCs/>
        </w:rPr>
        <w:t>Figures 5-</w:t>
      </w:r>
      <w:r w:rsidR="000067B0">
        <w:rPr>
          <w:bCs/>
        </w:rPr>
        <w:t>8</w:t>
      </w:r>
      <w:r w:rsidR="003F0BBB">
        <w:rPr>
          <w:bCs/>
        </w:rPr>
        <w:t xml:space="preserve"> in the following pages</w:t>
      </w:r>
      <w:r>
        <w:rPr>
          <w:bCs/>
        </w:rPr>
        <w:t xml:space="preserve"> list the main outcomes and the rationale for the decisions for the projects </w:t>
      </w:r>
      <w:r w:rsidR="003F0BBB">
        <w:rPr>
          <w:bCs/>
        </w:rPr>
        <w:t>examined in the 2021 Plan update.  The tables identify, in turn, the projects and bu</w:t>
      </w:r>
      <w:r w:rsidR="00CC0666">
        <w:rPr>
          <w:bCs/>
        </w:rPr>
        <w:t>d</w:t>
      </w:r>
      <w:r w:rsidR="003F0BBB">
        <w:rPr>
          <w:bCs/>
        </w:rPr>
        <w:t>g</w:t>
      </w:r>
      <w:r w:rsidR="00CC0666">
        <w:rPr>
          <w:bCs/>
        </w:rPr>
        <w:t>e</w:t>
      </w:r>
      <w:r w:rsidR="003F0BBB">
        <w:rPr>
          <w:bCs/>
        </w:rPr>
        <w:t>ts that are: Budget changes; Projects to be added to existing projects (“add-ons”); projects to be issued as RFPs; and projects that were considered but were not recommended / selected / funded.</w:t>
      </w:r>
    </w:p>
    <w:p w14:paraId="47EB5695" w14:textId="5A2EDFF5" w:rsidR="003F0BBB" w:rsidRDefault="003F0BBB" w:rsidP="00BA120A">
      <w:pPr>
        <w:pStyle w:val="ListParagraph"/>
        <w:numPr>
          <w:ilvl w:val="0"/>
          <w:numId w:val="22"/>
        </w:numPr>
        <w:spacing w:after="0" w:line="247" w:lineRule="auto"/>
        <w:rPr>
          <w:bCs/>
        </w:rPr>
      </w:pPr>
      <w:r>
        <w:rPr>
          <w:bCs/>
        </w:rPr>
        <w:t>Appendix A includes notes and descriptions of the recommended projects for 2021.</w:t>
      </w:r>
    </w:p>
    <w:p w14:paraId="7C48349C" w14:textId="72C271E7" w:rsidR="00BA120A" w:rsidRDefault="003F0BBB" w:rsidP="00CC0666">
      <w:pPr>
        <w:pStyle w:val="ListParagraph"/>
        <w:numPr>
          <w:ilvl w:val="0"/>
          <w:numId w:val="22"/>
        </w:numPr>
        <w:spacing w:after="0" w:line="247" w:lineRule="auto"/>
        <w:rPr>
          <w:bCs/>
        </w:rPr>
      </w:pPr>
      <w:r w:rsidRPr="00665F19">
        <w:rPr>
          <w:bCs/>
        </w:rPr>
        <w:t xml:space="preserve">Appendix B includes the disposition of all projects undertaken under the 2019-21 </w:t>
      </w:r>
      <w:r w:rsidR="00CC0666" w:rsidRPr="00665F19">
        <w:rPr>
          <w:bCs/>
        </w:rPr>
        <w:t>Evaluation</w:t>
      </w:r>
      <w:r w:rsidRPr="00665F19">
        <w:rPr>
          <w:bCs/>
        </w:rPr>
        <w:t xml:space="preserve"> Plan a</w:t>
      </w:r>
      <w:r w:rsidRPr="005F26D5">
        <w:rPr>
          <w:bCs/>
        </w:rPr>
        <w:t>n</w:t>
      </w:r>
      <w:r w:rsidRPr="000067B0">
        <w:rPr>
          <w:bCs/>
        </w:rPr>
        <w:t xml:space="preserve">d rationales </w:t>
      </w:r>
      <w:r w:rsidRPr="00155C43">
        <w:rPr>
          <w:bCs/>
        </w:rPr>
        <w:t xml:space="preserve">for their contracting.  The figure also identifies those projects </w:t>
      </w:r>
      <w:r w:rsidR="00CC0666" w:rsidRPr="00155C43">
        <w:rPr>
          <w:bCs/>
        </w:rPr>
        <w:t>that</w:t>
      </w:r>
      <w:r w:rsidRPr="00155C43">
        <w:rPr>
          <w:bCs/>
        </w:rPr>
        <w:t xml:space="preserve"> were in the Original Adopted Plan, and the projects that </w:t>
      </w:r>
      <w:r w:rsidR="00CC0666" w:rsidRPr="00155C43">
        <w:rPr>
          <w:bCs/>
        </w:rPr>
        <w:t>were</w:t>
      </w:r>
      <w:r w:rsidRPr="00155C43">
        <w:rPr>
          <w:bCs/>
        </w:rPr>
        <w:t xml:space="preserve"> added, deleted, or modified over the three years as part of the annual updates.</w:t>
      </w:r>
    </w:p>
    <w:p w14:paraId="20D3ADE4" w14:textId="73C2CD54" w:rsidR="00665F19" w:rsidRDefault="00665F19" w:rsidP="00BA120A">
      <w:pPr>
        <w:spacing w:after="0" w:line="247" w:lineRule="auto"/>
        <w:rPr>
          <w:b/>
        </w:rPr>
      </w:pPr>
    </w:p>
    <w:p w14:paraId="134C16FD" w14:textId="77777777" w:rsidR="00665F19" w:rsidRPr="00F26AB4" w:rsidRDefault="00665F19" w:rsidP="00665F19">
      <w:pPr>
        <w:spacing w:after="0" w:line="247" w:lineRule="auto"/>
        <w:rPr>
          <w:b/>
          <w:sz w:val="12"/>
          <w:szCs w:val="12"/>
        </w:rPr>
      </w:pPr>
    </w:p>
    <w:p w14:paraId="00EB9A07" w14:textId="01F84C76" w:rsidR="00BA120A" w:rsidRPr="00155C43" w:rsidRDefault="00BA120A" w:rsidP="00155C43">
      <w:pPr>
        <w:pStyle w:val="Heading2"/>
        <w:rPr>
          <w:rStyle w:val="Heading2Char"/>
        </w:rPr>
      </w:pPr>
      <w:bookmarkStart w:id="8" w:name="_Toc62551044"/>
      <w:r>
        <w:t xml:space="preserve">Next </w:t>
      </w:r>
      <w:r w:rsidRPr="00155C43">
        <w:rPr>
          <w:rStyle w:val="Heading2Char"/>
        </w:rPr>
        <w:t>Steps</w:t>
      </w:r>
      <w:r w:rsidR="003F0BBB" w:rsidRPr="00155C43">
        <w:rPr>
          <w:rStyle w:val="Heading2Char"/>
        </w:rPr>
        <w:t xml:space="preserve"> and </w:t>
      </w:r>
      <w:r w:rsidR="00CC0666" w:rsidRPr="00155C43">
        <w:rPr>
          <w:rStyle w:val="Heading2Char"/>
        </w:rPr>
        <w:t>Additional</w:t>
      </w:r>
      <w:r w:rsidR="003F0BBB" w:rsidRPr="00155C43">
        <w:rPr>
          <w:rStyle w:val="Heading2Char"/>
        </w:rPr>
        <w:t xml:space="preserve"> Recommendations</w:t>
      </w:r>
      <w:bookmarkEnd w:id="8"/>
    </w:p>
    <w:p w14:paraId="6980C101" w14:textId="77777777" w:rsidR="00BA120A" w:rsidRDefault="00BA120A" w:rsidP="00BA120A">
      <w:pPr>
        <w:spacing w:after="0" w:line="247" w:lineRule="auto"/>
      </w:pPr>
    </w:p>
    <w:p w14:paraId="204821A5" w14:textId="32E4A55D" w:rsidR="003F0BBB" w:rsidRDefault="00BA120A" w:rsidP="00BA120A">
      <w:pPr>
        <w:spacing w:after="0" w:line="247" w:lineRule="auto"/>
      </w:pPr>
      <w:r>
        <w:t xml:space="preserve">This final document, with project and budget lists approved by the Evaluation </w:t>
      </w:r>
      <w:r w:rsidRPr="00B24DCA">
        <w:t xml:space="preserve">Committee by vote </w:t>
      </w:r>
      <w:r w:rsidR="0000742F" w:rsidRPr="00B24DCA">
        <w:t>January 27, 2021</w:t>
      </w:r>
      <w:r w:rsidRPr="00B24DCA">
        <w:t>, represents the 202</w:t>
      </w:r>
      <w:r w:rsidR="003F0BBB" w:rsidRPr="00B24DCA">
        <w:t>1</w:t>
      </w:r>
      <w:r w:rsidRPr="00B24DCA">
        <w:t xml:space="preserve"> Update to the 2019-21 Evaluation Plan.  The EA Team, via thi</w:t>
      </w:r>
      <w:r>
        <w:t>s Plan update, does not intend to exceed approved budget for the 2019-21 Three Year Plan as approved by the EEB</w:t>
      </w:r>
      <w:r w:rsidR="003F0BBB">
        <w:t xml:space="preserve">.  </w:t>
      </w:r>
      <w:r>
        <w:t xml:space="preserve">After </w:t>
      </w:r>
      <w:r w:rsidR="003F0BBB">
        <w:t xml:space="preserve">budget </w:t>
      </w:r>
      <w:r>
        <w:t xml:space="preserve">approval, the EA team’s next task is to: </w:t>
      </w:r>
    </w:p>
    <w:p w14:paraId="041446EB" w14:textId="77777777" w:rsidR="000067B0" w:rsidRDefault="000067B0" w:rsidP="00665F19">
      <w:pPr>
        <w:pStyle w:val="ListParagraph"/>
        <w:numPr>
          <w:ilvl w:val="0"/>
          <w:numId w:val="23"/>
        </w:numPr>
        <w:spacing w:after="0" w:line="247" w:lineRule="auto"/>
      </w:pPr>
      <w:r>
        <w:t xml:space="preserve">Provide the Update document to the CT-EEB </w:t>
      </w:r>
    </w:p>
    <w:p w14:paraId="4223CB87" w14:textId="393C70C4" w:rsidR="003F0BBB" w:rsidRDefault="00665F19" w:rsidP="00155C43">
      <w:pPr>
        <w:pStyle w:val="ListParagraph"/>
        <w:numPr>
          <w:ilvl w:val="0"/>
          <w:numId w:val="23"/>
        </w:numPr>
        <w:spacing w:after="0" w:line="247" w:lineRule="auto"/>
      </w:pPr>
      <w:r>
        <w:t xml:space="preserve">Immediately </w:t>
      </w:r>
      <w:r w:rsidR="00BA120A">
        <w:t xml:space="preserve">request the utilities make contract amendments to existing contracts consistent with the noted budget changes, and </w:t>
      </w:r>
    </w:p>
    <w:p w14:paraId="0B7921A1" w14:textId="5EBED0EA" w:rsidR="00BA120A" w:rsidRDefault="00BA120A" w:rsidP="00155C43">
      <w:pPr>
        <w:pStyle w:val="ListParagraph"/>
        <w:numPr>
          <w:ilvl w:val="0"/>
          <w:numId w:val="23"/>
        </w:numPr>
        <w:spacing w:after="0" w:line="247" w:lineRule="auto"/>
      </w:pPr>
      <w:r>
        <w:t xml:space="preserve">the EA Team commences the Mini-RFP process.  </w:t>
      </w:r>
    </w:p>
    <w:p w14:paraId="7DE832AF" w14:textId="4FED69EC" w:rsidR="00BA120A" w:rsidRDefault="00BA120A" w:rsidP="00B55EF6"/>
    <w:p w14:paraId="0E35DB5F" w14:textId="2524885B" w:rsidR="00665F19" w:rsidRDefault="00665F19" w:rsidP="00B55EF6">
      <w:r>
        <w:t xml:space="preserve">The EA Team recognizes and respects the </w:t>
      </w:r>
      <w:r w:rsidR="00CC0666">
        <w:t>Three-Year</w:t>
      </w:r>
      <w:r>
        <w:t xml:space="preserve"> </w:t>
      </w:r>
      <w:r w:rsidR="00CC0666">
        <w:t>Evaluation</w:t>
      </w:r>
      <w:r>
        <w:t xml:space="preserve"> Planning and </w:t>
      </w:r>
      <w:r w:rsidR="00CC0666">
        <w:t>annual</w:t>
      </w:r>
      <w:r>
        <w:t xml:space="preserve"> update process, which coincides with the three-year process for the C&amp;LM Plan.   </w:t>
      </w:r>
      <w:r w:rsidR="00CC0666">
        <w:t>However</w:t>
      </w:r>
      <w:r>
        <w:t xml:space="preserve">, a three-year plan requires </w:t>
      </w:r>
      <w:r w:rsidR="00CC0666">
        <w:t>forecasting</w:t>
      </w:r>
      <w:r>
        <w:t xml:space="preserve"> the priority issues and program needs three years into the future.  While the EA Team recognizes that core projects can be </w:t>
      </w:r>
      <w:r w:rsidR="00CC0666">
        <w:t>realistically</w:t>
      </w:r>
      <w:r>
        <w:t xml:space="preserve"> forecast over the period – for instance, </w:t>
      </w:r>
      <w:r w:rsidR="00CC0666">
        <w:t>generally</w:t>
      </w:r>
      <w:r>
        <w:t xml:space="preserve"> assuring that C&amp;I programs receive impact / </w:t>
      </w:r>
      <w:r w:rsidR="00CC0666">
        <w:t>process</w:t>
      </w:r>
      <w:r>
        <w:t xml:space="preserve"> </w:t>
      </w:r>
      <w:r w:rsidR="00CC0666">
        <w:t>evaluations</w:t>
      </w:r>
      <w:r>
        <w:t xml:space="preserve"> on a five-year cycle to comply with ISO, and priority residential programs are </w:t>
      </w:r>
      <w:r w:rsidR="00CC0666">
        <w:t>evaluated</w:t>
      </w:r>
      <w:r>
        <w:t xml:space="preserve"> on a three-year cycle – </w:t>
      </w:r>
      <w:r w:rsidR="00CC0666">
        <w:t>foreseeing</w:t>
      </w:r>
      <w:r>
        <w:t xml:space="preserve"> pri</w:t>
      </w:r>
      <w:r w:rsidR="00CC0666">
        <w:t>ority</w:t>
      </w:r>
      <w:r>
        <w:t xml:space="preserve"> issues three years into the future is difficult, and tends to reduce flexi</w:t>
      </w:r>
      <w:r w:rsidR="00CC0666">
        <w:t>bility</w:t>
      </w:r>
      <w:r>
        <w:t xml:space="preserve"> and responsiveness in later </w:t>
      </w:r>
      <w:r w:rsidR="00CC0666">
        <w:t>years</w:t>
      </w:r>
      <w:r>
        <w:t xml:space="preserve">.  Therefore, the EA team expects that the next Three-Year Plan may provide greater </w:t>
      </w:r>
      <w:r w:rsidR="00CC0666">
        <w:t>specificity</w:t>
      </w:r>
      <w:r>
        <w:t xml:space="preserve"> for Year 1 and less specificity for years 2 and 3, with likely a larger budge amount assigned to the </w:t>
      </w:r>
      <w:r w:rsidR="00CC0666">
        <w:t>project</w:t>
      </w:r>
      <w:r>
        <w:t xml:space="preserve"> for “emerging issues” in Year 1.  In addition, </w:t>
      </w:r>
      <w:r w:rsidR="00CC0666">
        <w:t>timely</w:t>
      </w:r>
      <w:r>
        <w:t xml:space="preserve"> and responsive </w:t>
      </w:r>
      <w:r w:rsidR="00CC0666">
        <w:t>evaluations</w:t>
      </w:r>
      <w:r>
        <w:t xml:space="preserve"> are a goal of the EA team.  Consistent with the f</w:t>
      </w:r>
      <w:r w:rsidR="00CC0666">
        <w:t>l</w:t>
      </w:r>
      <w:r>
        <w:t>exi</w:t>
      </w:r>
      <w:r w:rsidR="00CC0666">
        <w:t>bility</w:t>
      </w:r>
      <w:r>
        <w:t xml:space="preserve"> afforded by Three-Year </w:t>
      </w:r>
      <w:r w:rsidR="00CC0666">
        <w:t>Research</w:t>
      </w:r>
      <w:r>
        <w:t xml:space="preserve"> Area contractors, we may need to develop a process for adopting interim projects that respond to </w:t>
      </w:r>
      <w:r w:rsidR="00CC0666">
        <w:t>unexpected</w:t>
      </w:r>
      <w:r>
        <w:t xml:space="preserve"> needs by the utilities or technical contractors. </w:t>
      </w:r>
    </w:p>
    <w:p w14:paraId="6DFFAB4F" w14:textId="15433ED2" w:rsidR="000067B0" w:rsidRDefault="000067B0"/>
    <w:p w14:paraId="28303D83" w14:textId="11695CC6" w:rsidR="000067B0" w:rsidRDefault="000067B0" w:rsidP="00155C43">
      <w:pPr>
        <w:pStyle w:val="Heading2"/>
      </w:pPr>
      <w:bookmarkStart w:id="9" w:name="_Toc62551045"/>
      <w:r>
        <w:t xml:space="preserve">Details of 2021 </w:t>
      </w:r>
      <w:r w:rsidR="0088767D">
        <w:t xml:space="preserve">Plan Update </w:t>
      </w:r>
      <w:r>
        <w:t>Projects</w:t>
      </w:r>
      <w:r w:rsidR="0088767D">
        <w:t xml:space="preserve"> - Figures</w:t>
      </w:r>
      <w:bookmarkEnd w:id="9"/>
    </w:p>
    <w:p w14:paraId="1BCF1BFB" w14:textId="77777777" w:rsidR="000067B0" w:rsidRPr="00155C43" w:rsidRDefault="000067B0" w:rsidP="00155C43"/>
    <w:p w14:paraId="141A9AFC" w14:textId="6717A050" w:rsidR="00641584" w:rsidRPr="00155C43" w:rsidRDefault="00641584" w:rsidP="00F26AB4">
      <w:pPr>
        <w:spacing w:after="0" w:line="247" w:lineRule="auto"/>
        <w:rPr>
          <w:bCs/>
        </w:rPr>
      </w:pPr>
      <w:r w:rsidRPr="00155C43">
        <w:rPr>
          <w:bCs/>
        </w:rPr>
        <w:t xml:space="preserve">Figure </w:t>
      </w:r>
      <w:r w:rsidR="000067B0" w:rsidRPr="00155C43">
        <w:rPr>
          <w:bCs/>
        </w:rPr>
        <w:t>4</w:t>
      </w:r>
      <w:r w:rsidRPr="00155C43">
        <w:rPr>
          <w:bCs/>
        </w:rPr>
        <w:t xml:space="preserve"> </w:t>
      </w:r>
      <w:r w:rsidR="005F4692" w:rsidRPr="00155C43">
        <w:rPr>
          <w:bCs/>
        </w:rPr>
        <w:t xml:space="preserve">below </w:t>
      </w:r>
      <w:r w:rsidRPr="00155C43">
        <w:rPr>
          <w:bCs/>
        </w:rPr>
        <w:t>lists the 202</w:t>
      </w:r>
      <w:r w:rsidR="00BF06F8" w:rsidRPr="00155C43">
        <w:rPr>
          <w:bCs/>
        </w:rPr>
        <w:t>1</w:t>
      </w:r>
      <w:r w:rsidRPr="00155C43">
        <w:rPr>
          <w:bCs/>
        </w:rPr>
        <w:t xml:space="preserve"> Plan Update Projec</w:t>
      </w:r>
      <w:r w:rsidR="005F4692" w:rsidRPr="00155C43">
        <w:rPr>
          <w:bCs/>
        </w:rPr>
        <w:t xml:space="preserve">ts by </w:t>
      </w:r>
      <w:r w:rsidR="00F26AB4" w:rsidRPr="00155C43">
        <w:rPr>
          <w:bCs/>
        </w:rPr>
        <w:t>group – those in the Original Adopted Plan and new concepts incorporated based on refinements due to 202</w:t>
      </w:r>
      <w:r w:rsidR="002C33FE" w:rsidRPr="00155C43">
        <w:rPr>
          <w:bCs/>
        </w:rPr>
        <w:t>0-21</w:t>
      </w:r>
      <w:r w:rsidR="00F26AB4" w:rsidRPr="00155C43">
        <w:rPr>
          <w:bCs/>
        </w:rPr>
        <w:t xml:space="preserve"> priorities.</w:t>
      </w:r>
    </w:p>
    <w:p w14:paraId="56CE675B" w14:textId="77777777" w:rsidR="00641584" w:rsidRDefault="00641584" w:rsidP="0020502C">
      <w:pPr>
        <w:spacing w:after="0"/>
        <w:rPr>
          <w:b/>
          <w:sz w:val="20"/>
          <w:szCs w:val="20"/>
        </w:rPr>
      </w:pPr>
    </w:p>
    <w:p w14:paraId="5F251161" w14:textId="77777777" w:rsidR="000067B0" w:rsidRDefault="000067B0">
      <w:pPr>
        <w:rPr>
          <w:rFonts w:eastAsiaTheme="majorEastAsia" w:cstheme="minorHAnsi"/>
          <w:b/>
          <w:bCs/>
          <w:color w:val="1F4D78" w:themeColor="accent1" w:themeShade="7F"/>
        </w:rPr>
      </w:pPr>
      <w:r>
        <w:rPr>
          <w:rFonts w:cstheme="minorHAnsi"/>
          <w:b/>
          <w:bCs/>
        </w:rPr>
        <w:br w:type="page"/>
      </w:r>
    </w:p>
    <w:p w14:paraId="2B881932" w14:textId="7052D920" w:rsidR="007B038E" w:rsidRPr="000D70AC" w:rsidRDefault="007B038E" w:rsidP="000D70AC">
      <w:pPr>
        <w:pStyle w:val="Heading3"/>
        <w:rPr>
          <w:rFonts w:asciiTheme="minorHAnsi" w:hAnsiTheme="minorHAnsi" w:cstheme="minorHAnsi"/>
          <w:b/>
          <w:bCs/>
          <w:sz w:val="22"/>
          <w:szCs w:val="22"/>
        </w:rPr>
      </w:pPr>
      <w:bookmarkStart w:id="10" w:name="_Toc62551046"/>
      <w:r w:rsidRPr="000D70AC">
        <w:rPr>
          <w:rFonts w:asciiTheme="minorHAnsi" w:hAnsiTheme="minorHAnsi" w:cstheme="minorHAnsi"/>
          <w:b/>
          <w:bCs/>
          <w:sz w:val="22"/>
          <w:szCs w:val="22"/>
        </w:rPr>
        <w:t>Figur</w:t>
      </w:r>
      <w:r w:rsidR="00BA120A">
        <w:rPr>
          <w:rFonts w:asciiTheme="minorHAnsi" w:hAnsiTheme="minorHAnsi" w:cstheme="minorHAnsi"/>
          <w:b/>
          <w:bCs/>
          <w:sz w:val="22"/>
          <w:szCs w:val="22"/>
        </w:rPr>
        <w:t xml:space="preserve">e </w:t>
      </w:r>
      <w:r w:rsidR="000067B0">
        <w:rPr>
          <w:rFonts w:asciiTheme="minorHAnsi" w:hAnsiTheme="minorHAnsi" w:cstheme="minorHAnsi"/>
          <w:b/>
          <w:bCs/>
          <w:sz w:val="22"/>
          <w:szCs w:val="22"/>
        </w:rPr>
        <w:t>4</w:t>
      </w:r>
      <w:r w:rsidRPr="000D70AC">
        <w:rPr>
          <w:rFonts w:asciiTheme="minorHAnsi" w:hAnsiTheme="minorHAnsi" w:cstheme="minorHAnsi"/>
          <w:b/>
          <w:bCs/>
          <w:sz w:val="22"/>
          <w:szCs w:val="22"/>
        </w:rPr>
        <w:t xml:space="preserve">:  </w:t>
      </w:r>
      <w:r w:rsidR="00641584" w:rsidRPr="000D70AC">
        <w:rPr>
          <w:rFonts w:asciiTheme="minorHAnsi" w:hAnsiTheme="minorHAnsi" w:cstheme="minorHAnsi"/>
          <w:b/>
          <w:bCs/>
          <w:sz w:val="22"/>
          <w:szCs w:val="22"/>
        </w:rPr>
        <w:t xml:space="preserve">Three-Year </w:t>
      </w:r>
      <w:r w:rsidR="002C33FE">
        <w:rPr>
          <w:rFonts w:asciiTheme="minorHAnsi" w:hAnsiTheme="minorHAnsi" w:cstheme="minorHAnsi"/>
          <w:b/>
          <w:bCs/>
          <w:sz w:val="22"/>
          <w:szCs w:val="22"/>
        </w:rPr>
        <w:t xml:space="preserve">Adopted Evaluation Plan </w:t>
      </w:r>
      <w:r w:rsidRPr="00665F19">
        <w:rPr>
          <w:rFonts w:asciiTheme="minorHAnsi" w:hAnsiTheme="minorHAnsi" w:cstheme="minorHAnsi"/>
          <w:b/>
          <w:bCs/>
          <w:sz w:val="22"/>
          <w:szCs w:val="22"/>
        </w:rPr>
        <w:t>Project List</w:t>
      </w:r>
      <w:r w:rsidRPr="000D70AC">
        <w:rPr>
          <w:rFonts w:asciiTheme="minorHAnsi" w:hAnsiTheme="minorHAnsi" w:cstheme="minorHAnsi"/>
          <w:b/>
          <w:bCs/>
          <w:sz w:val="22"/>
          <w:szCs w:val="22"/>
        </w:rPr>
        <w:t xml:space="preserve"> –</w:t>
      </w:r>
      <w:r w:rsidR="002C33FE">
        <w:rPr>
          <w:rFonts w:asciiTheme="minorHAnsi" w:hAnsiTheme="minorHAnsi" w:cstheme="minorHAnsi"/>
          <w:b/>
          <w:bCs/>
          <w:sz w:val="22"/>
          <w:szCs w:val="22"/>
        </w:rPr>
        <w:t xml:space="preserve">As-Contracted, by </w:t>
      </w:r>
      <w:r w:rsidR="00703EC8" w:rsidRPr="000D70AC">
        <w:rPr>
          <w:rFonts w:asciiTheme="minorHAnsi" w:hAnsiTheme="minorHAnsi" w:cstheme="minorHAnsi"/>
          <w:b/>
          <w:bCs/>
          <w:sz w:val="22"/>
          <w:szCs w:val="22"/>
        </w:rPr>
        <w:t>Group</w:t>
      </w:r>
      <w:r w:rsidRPr="000D70AC">
        <w:rPr>
          <w:rFonts w:asciiTheme="minorHAnsi" w:hAnsiTheme="minorHAnsi" w:cstheme="minorHAnsi"/>
          <w:b/>
          <w:bCs/>
          <w:sz w:val="22"/>
          <w:szCs w:val="22"/>
        </w:rPr>
        <w:t xml:space="preserve"> </w:t>
      </w:r>
      <w:r w:rsidR="00BA120A">
        <w:rPr>
          <w:rFonts w:asciiTheme="minorHAnsi" w:hAnsiTheme="minorHAnsi" w:cstheme="minorHAnsi"/>
          <w:b/>
          <w:bCs/>
          <w:sz w:val="22"/>
          <w:szCs w:val="22"/>
        </w:rPr>
        <w:t>&amp; Year</w:t>
      </w:r>
      <w:bookmarkEnd w:id="10"/>
    </w:p>
    <w:p w14:paraId="60AE5648" w14:textId="5BDCF277" w:rsidR="00582F9C" w:rsidRDefault="00582F9C" w:rsidP="007B038E">
      <w:pPr>
        <w:spacing w:after="0"/>
        <w:rPr>
          <w:bCs/>
          <w:i/>
          <w:iCs/>
          <w:sz w:val="20"/>
          <w:szCs w:val="20"/>
        </w:rPr>
      </w:pPr>
      <w:r w:rsidRPr="00582F9C">
        <w:rPr>
          <w:bCs/>
          <w:i/>
          <w:iCs/>
          <w:sz w:val="20"/>
          <w:szCs w:val="20"/>
        </w:rPr>
        <w:t>(R-Residential; C-Commercial; X-Cross-cutting)</w:t>
      </w:r>
    </w:p>
    <w:p w14:paraId="464E9E3D" w14:textId="5486BC86" w:rsidR="00B43018" w:rsidRDefault="00B43018" w:rsidP="007B038E">
      <w:pPr>
        <w:spacing w:after="0"/>
        <w:rPr>
          <w:bCs/>
          <w:i/>
          <w:iCs/>
          <w:sz w:val="20"/>
          <w:szCs w:val="20"/>
        </w:rPr>
      </w:pPr>
      <w:r w:rsidRPr="00B43018">
        <w:rPr>
          <w:noProof/>
        </w:rPr>
        <w:drawing>
          <wp:inline distT="0" distB="0" distL="0" distR="0" wp14:anchorId="09809020" wp14:editId="54656A84">
            <wp:extent cx="4379711" cy="7512050"/>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83417" cy="7518407"/>
                    </a:xfrm>
                    <a:prstGeom prst="rect">
                      <a:avLst/>
                    </a:prstGeom>
                    <a:noFill/>
                    <a:ln>
                      <a:noFill/>
                    </a:ln>
                  </pic:spPr>
                </pic:pic>
              </a:graphicData>
            </a:graphic>
          </wp:inline>
        </w:drawing>
      </w:r>
    </w:p>
    <w:p w14:paraId="57F59076" w14:textId="77777777" w:rsidR="00B43018" w:rsidRDefault="00B43018" w:rsidP="007B038E">
      <w:pPr>
        <w:spacing w:after="0"/>
        <w:rPr>
          <w:bCs/>
          <w:i/>
          <w:iCs/>
          <w:sz w:val="20"/>
          <w:szCs w:val="20"/>
        </w:rPr>
      </w:pPr>
    </w:p>
    <w:p w14:paraId="5A912384" w14:textId="1E4D3054" w:rsidR="000067B0" w:rsidRDefault="000067B0" w:rsidP="000067B0">
      <w:r>
        <w:t xml:space="preserve">Figures 5-8 summarize the </w:t>
      </w:r>
      <w:r w:rsidR="00CC0666">
        <w:t>outputs</w:t>
      </w:r>
      <w:r>
        <w:t xml:space="preserve"> and rationales for the 2021 </w:t>
      </w:r>
      <w:r w:rsidR="00CC0666">
        <w:t>Evaluation</w:t>
      </w:r>
      <w:r>
        <w:t xml:space="preserve"> Plan Projects by “groups”: budget changes due to </w:t>
      </w:r>
      <w:r w:rsidR="00CC0666">
        <w:t>COVID-19</w:t>
      </w:r>
      <w:r>
        <w:t xml:space="preserve"> or </w:t>
      </w:r>
      <w:r w:rsidR="00CC0666">
        <w:t>other</w:t>
      </w:r>
      <w:r>
        <w:t xml:space="preserve"> cau</w:t>
      </w:r>
      <w:r w:rsidR="00CC0666">
        <w:t>ses</w:t>
      </w:r>
      <w:r>
        <w:t xml:space="preserve">; projects to be integrated or “added on” to existing, contracted </w:t>
      </w:r>
      <w:r w:rsidR="00CC0666">
        <w:t>projects</w:t>
      </w:r>
      <w:r>
        <w:t xml:space="preserve">; new projects to be assigned through an RFP process, and finally projects that were not recommended for funding in 2021.  Note, some </w:t>
      </w:r>
      <w:r w:rsidR="00CC0666">
        <w:t>of these</w:t>
      </w:r>
      <w:r>
        <w:t xml:space="preserve"> groups carry over multiple pages.  Again, more detailed notes and </w:t>
      </w:r>
      <w:r w:rsidR="00CC0666">
        <w:t>descriptions</w:t>
      </w:r>
      <w:r>
        <w:t xml:space="preserve"> </w:t>
      </w:r>
      <w:r w:rsidR="00CC0666">
        <w:t>of</w:t>
      </w:r>
      <w:r>
        <w:t xml:space="preserve"> the projects are included in Appendix A.</w:t>
      </w:r>
    </w:p>
    <w:p w14:paraId="0F2B8F48" w14:textId="77777777" w:rsidR="000067B0" w:rsidRPr="00155C43" w:rsidRDefault="000067B0" w:rsidP="00155C43"/>
    <w:p w14:paraId="0E85E570" w14:textId="22239524" w:rsidR="00C76EF4" w:rsidRPr="000D70AC" w:rsidRDefault="000D70AC" w:rsidP="000D70AC">
      <w:pPr>
        <w:pStyle w:val="Heading3"/>
        <w:rPr>
          <w:rFonts w:asciiTheme="minorHAnsi" w:hAnsiTheme="minorHAnsi" w:cstheme="minorHAnsi"/>
          <w:b/>
          <w:bCs/>
          <w:i/>
          <w:iCs/>
          <w:sz w:val="22"/>
          <w:szCs w:val="22"/>
        </w:rPr>
      </w:pPr>
      <w:bookmarkStart w:id="11" w:name="_Toc62551047"/>
      <w:r w:rsidRPr="000D70AC">
        <w:rPr>
          <w:rFonts w:asciiTheme="minorHAnsi" w:hAnsiTheme="minorHAnsi" w:cstheme="minorHAnsi"/>
          <w:b/>
          <w:bCs/>
          <w:sz w:val="22"/>
          <w:szCs w:val="22"/>
        </w:rPr>
        <w:t xml:space="preserve">Figure </w:t>
      </w:r>
      <w:r w:rsidR="000067B0">
        <w:rPr>
          <w:rFonts w:asciiTheme="minorHAnsi" w:hAnsiTheme="minorHAnsi" w:cstheme="minorHAnsi"/>
          <w:b/>
          <w:bCs/>
          <w:sz w:val="22"/>
          <w:szCs w:val="22"/>
        </w:rPr>
        <w:t>5</w:t>
      </w:r>
      <w:r w:rsidR="00C76EF4" w:rsidRPr="000D70AC">
        <w:rPr>
          <w:rFonts w:asciiTheme="minorHAnsi" w:hAnsiTheme="minorHAnsi" w:cstheme="minorHAnsi"/>
          <w:b/>
          <w:bCs/>
          <w:sz w:val="22"/>
          <w:szCs w:val="22"/>
        </w:rPr>
        <w:t xml:space="preserve">: </w:t>
      </w:r>
      <w:r w:rsidR="000067B0">
        <w:rPr>
          <w:rFonts w:asciiTheme="minorHAnsi" w:hAnsiTheme="minorHAnsi" w:cstheme="minorHAnsi"/>
          <w:b/>
          <w:bCs/>
          <w:sz w:val="22"/>
          <w:szCs w:val="22"/>
        </w:rPr>
        <w:t xml:space="preserve">2021 </w:t>
      </w:r>
      <w:r w:rsidR="00027D42">
        <w:rPr>
          <w:rFonts w:asciiTheme="minorHAnsi" w:hAnsiTheme="minorHAnsi" w:cstheme="minorHAnsi"/>
          <w:b/>
          <w:bCs/>
          <w:sz w:val="22"/>
          <w:szCs w:val="22"/>
        </w:rPr>
        <w:t xml:space="preserve">Projects with Budget Adjustments due to </w:t>
      </w:r>
      <w:r w:rsidR="0054111E">
        <w:rPr>
          <w:rFonts w:asciiTheme="minorHAnsi" w:hAnsiTheme="minorHAnsi" w:cstheme="minorHAnsi"/>
          <w:b/>
          <w:bCs/>
          <w:sz w:val="22"/>
          <w:szCs w:val="22"/>
        </w:rPr>
        <w:t>COVID-19</w:t>
      </w:r>
      <w:r w:rsidR="00027D42">
        <w:rPr>
          <w:rFonts w:asciiTheme="minorHAnsi" w:hAnsiTheme="minorHAnsi" w:cstheme="minorHAnsi"/>
          <w:b/>
          <w:bCs/>
          <w:sz w:val="22"/>
          <w:szCs w:val="22"/>
        </w:rPr>
        <w:t xml:space="preserve"> or other causes</w:t>
      </w:r>
      <w:bookmarkEnd w:id="11"/>
    </w:p>
    <w:p w14:paraId="4BFBF4DC" w14:textId="0929BDD6" w:rsidR="00582F9C" w:rsidRDefault="00582F9C" w:rsidP="00582F9C">
      <w:pPr>
        <w:spacing w:after="0" w:line="247" w:lineRule="auto"/>
        <w:rPr>
          <w:i/>
          <w:iCs/>
          <w:sz w:val="20"/>
          <w:szCs w:val="20"/>
        </w:rPr>
      </w:pPr>
      <w:r w:rsidRPr="000210CD">
        <w:rPr>
          <w:i/>
          <w:iCs/>
          <w:sz w:val="20"/>
          <w:szCs w:val="20"/>
        </w:rPr>
        <w:t>Includes brief description of rationale for inclusion in the update</w:t>
      </w:r>
    </w:p>
    <w:p w14:paraId="21647C3B" w14:textId="4F67C8BB" w:rsidR="00027D42" w:rsidRDefault="00027D42" w:rsidP="00582F9C">
      <w:pPr>
        <w:spacing w:after="0" w:line="247" w:lineRule="auto"/>
        <w:rPr>
          <w:i/>
          <w:iCs/>
          <w:sz w:val="20"/>
          <w:szCs w:val="20"/>
        </w:rPr>
      </w:pPr>
      <w:r w:rsidRPr="00027D42">
        <w:rPr>
          <w:noProof/>
        </w:rPr>
        <w:drawing>
          <wp:inline distT="0" distB="0" distL="0" distR="0" wp14:anchorId="1B069AE0" wp14:editId="001998C2">
            <wp:extent cx="5943600" cy="235521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355215"/>
                    </a:xfrm>
                    <a:prstGeom prst="rect">
                      <a:avLst/>
                    </a:prstGeom>
                    <a:noFill/>
                    <a:ln>
                      <a:noFill/>
                    </a:ln>
                  </pic:spPr>
                </pic:pic>
              </a:graphicData>
            </a:graphic>
          </wp:inline>
        </w:drawing>
      </w:r>
    </w:p>
    <w:p w14:paraId="4628246B" w14:textId="77777777" w:rsidR="00027D42" w:rsidRPr="000210CD" w:rsidRDefault="00027D42" w:rsidP="00582F9C">
      <w:pPr>
        <w:spacing w:after="0" w:line="247" w:lineRule="auto"/>
        <w:rPr>
          <w:i/>
          <w:iCs/>
          <w:sz w:val="20"/>
          <w:szCs w:val="20"/>
        </w:rPr>
      </w:pPr>
    </w:p>
    <w:p w14:paraId="77983DAA" w14:textId="2EB51E61" w:rsidR="00027D42" w:rsidRDefault="00027D42" w:rsidP="00582F9C">
      <w:pPr>
        <w:spacing w:after="0" w:line="247" w:lineRule="auto"/>
        <w:rPr>
          <w:i/>
          <w:iCs/>
        </w:rPr>
      </w:pPr>
    </w:p>
    <w:p w14:paraId="21679EBB" w14:textId="4F56F410" w:rsidR="00027D42" w:rsidRPr="000D70AC" w:rsidRDefault="00027D42" w:rsidP="00027D42">
      <w:pPr>
        <w:pStyle w:val="Heading3"/>
        <w:rPr>
          <w:rFonts w:asciiTheme="minorHAnsi" w:hAnsiTheme="minorHAnsi" w:cstheme="minorHAnsi"/>
          <w:b/>
          <w:bCs/>
          <w:i/>
          <w:iCs/>
          <w:sz w:val="22"/>
          <w:szCs w:val="22"/>
        </w:rPr>
      </w:pPr>
      <w:bookmarkStart w:id="12" w:name="_Toc62551048"/>
      <w:r w:rsidRPr="000D70AC">
        <w:rPr>
          <w:rFonts w:asciiTheme="minorHAnsi" w:hAnsiTheme="minorHAnsi" w:cstheme="minorHAnsi"/>
          <w:b/>
          <w:bCs/>
          <w:sz w:val="22"/>
          <w:szCs w:val="22"/>
        </w:rPr>
        <w:t xml:space="preserve">Figure </w:t>
      </w:r>
      <w:r w:rsidR="000067B0">
        <w:rPr>
          <w:rFonts w:asciiTheme="minorHAnsi" w:hAnsiTheme="minorHAnsi" w:cstheme="minorHAnsi"/>
          <w:b/>
          <w:bCs/>
          <w:sz w:val="22"/>
          <w:szCs w:val="22"/>
        </w:rPr>
        <w:t>6</w:t>
      </w:r>
      <w:r w:rsidRPr="000D70AC">
        <w:rPr>
          <w:rFonts w:asciiTheme="minorHAnsi" w:hAnsiTheme="minorHAnsi" w:cstheme="minorHAnsi"/>
          <w:b/>
          <w:bCs/>
          <w:sz w:val="22"/>
          <w:szCs w:val="22"/>
        </w:rPr>
        <w:t xml:space="preserve">: </w:t>
      </w:r>
      <w:r>
        <w:rPr>
          <w:rFonts w:asciiTheme="minorHAnsi" w:hAnsiTheme="minorHAnsi" w:cstheme="minorHAnsi"/>
          <w:b/>
          <w:bCs/>
          <w:sz w:val="22"/>
          <w:szCs w:val="22"/>
        </w:rPr>
        <w:t>Projects that are Add-Ons to Existing Projects to Incorporate Updated Research Needs</w:t>
      </w:r>
      <w:r w:rsidR="005F70EC">
        <w:rPr>
          <w:rFonts w:asciiTheme="minorHAnsi" w:hAnsiTheme="minorHAnsi" w:cstheme="minorHAnsi"/>
          <w:b/>
          <w:bCs/>
          <w:sz w:val="22"/>
          <w:szCs w:val="22"/>
        </w:rPr>
        <w:t xml:space="preserve">, </w:t>
      </w:r>
      <w:r w:rsidR="00B962C0">
        <w:rPr>
          <w:rFonts w:asciiTheme="minorHAnsi" w:hAnsiTheme="minorHAnsi" w:cstheme="minorHAnsi"/>
          <w:b/>
          <w:bCs/>
          <w:sz w:val="22"/>
          <w:szCs w:val="22"/>
        </w:rPr>
        <w:t>P</w:t>
      </w:r>
      <w:r w:rsidR="005F70EC">
        <w:rPr>
          <w:rFonts w:asciiTheme="minorHAnsi" w:hAnsiTheme="minorHAnsi" w:cstheme="minorHAnsi"/>
          <w:b/>
          <w:bCs/>
          <w:sz w:val="22"/>
          <w:szCs w:val="22"/>
        </w:rPr>
        <w:t>art 1</w:t>
      </w:r>
      <w:bookmarkEnd w:id="12"/>
      <w:r>
        <w:rPr>
          <w:rFonts w:asciiTheme="minorHAnsi" w:hAnsiTheme="minorHAnsi" w:cstheme="minorHAnsi"/>
          <w:b/>
          <w:bCs/>
          <w:sz w:val="22"/>
          <w:szCs w:val="22"/>
        </w:rPr>
        <w:t xml:space="preserve"> </w:t>
      </w:r>
    </w:p>
    <w:p w14:paraId="7364D493" w14:textId="77777777" w:rsidR="00027D42" w:rsidRPr="000210CD" w:rsidRDefault="00027D42" w:rsidP="00027D42">
      <w:pPr>
        <w:spacing w:after="0" w:line="247" w:lineRule="auto"/>
        <w:rPr>
          <w:i/>
          <w:iCs/>
          <w:sz w:val="20"/>
          <w:szCs w:val="20"/>
        </w:rPr>
      </w:pPr>
      <w:r w:rsidRPr="000210CD">
        <w:rPr>
          <w:i/>
          <w:iCs/>
          <w:sz w:val="20"/>
          <w:szCs w:val="20"/>
        </w:rPr>
        <w:t>Includes brief description of rationale for inclusion in the update</w:t>
      </w:r>
    </w:p>
    <w:p w14:paraId="317BF43B" w14:textId="1936E484" w:rsidR="00027D42" w:rsidRDefault="005F70EC" w:rsidP="00582F9C">
      <w:pPr>
        <w:spacing w:after="0" w:line="247" w:lineRule="auto"/>
        <w:rPr>
          <w:i/>
          <w:iCs/>
        </w:rPr>
      </w:pPr>
      <w:r w:rsidRPr="005F70EC">
        <w:rPr>
          <w:noProof/>
        </w:rPr>
        <w:drawing>
          <wp:inline distT="0" distB="0" distL="0" distR="0" wp14:anchorId="7195E508" wp14:editId="57BBC31F">
            <wp:extent cx="5943600" cy="345376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453765"/>
                    </a:xfrm>
                    <a:prstGeom prst="rect">
                      <a:avLst/>
                    </a:prstGeom>
                    <a:noFill/>
                    <a:ln>
                      <a:noFill/>
                    </a:ln>
                  </pic:spPr>
                </pic:pic>
              </a:graphicData>
            </a:graphic>
          </wp:inline>
        </w:drawing>
      </w:r>
    </w:p>
    <w:p w14:paraId="35754670" w14:textId="77777777" w:rsidR="005F70EC" w:rsidRDefault="005F70EC">
      <w:pPr>
        <w:rPr>
          <w:i/>
          <w:iCs/>
        </w:rPr>
      </w:pPr>
    </w:p>
    <w:p w14:paraId="78544B84" w14:textId="3AFDA027" w:rsidR="005F70EC" w:rsidRPr="000D70AC" w:rsidRDefault="005F70EC" w:rsidP="005F70EC">
      <w:pPr>
        <w:pStyle w:val="Heading3"/>
        <w:rPr>
          <w:rFonts w:asciiTheme="minorHAnsi" w:hAnsiTheme="minorHAnsi" w:cstheme="minorHAnsi"/>
          <w:b/>
          <w:bCs/>
          <w:i/>
          <w:iCs/>
          <w:sz w:val="22"/>
          <w:szCs w:val="22"/>
        </w:rPr>
      </w:pPr>
      <w:bookmarkStart w:id="13" w:name="_Toc62551049"/>
      <w:r w:rsidRPr="000D70AC">
        <w:rPr>
          <w:rFonts w:asciiTheme="minorHAnsi" w:hAnsiTheme="minorHAnsi" w:cstheme="minorHAnsi"/>
          <w:b/>
          <w:bCs/>
          <w:sz w:val="22"/>
          <w:szCs w:val="22"/>
        </w:rPr>
        <w:t xml:space="preserve">Figure </w:t>
      </w:r>
      <w:r w:rsidR="000067B0">
        <w:rPr>
          <w:rFonts w:asciiTheme="minorHAnsi" w:hAnsiTheme="minorHAnsi" w:cstheme="minorHAnsi"/>
          <w:b/>
          <w:bCs/>
          <w:sz w:val="22"/>
          <w:szCs w:val="22"/>
        </w:rPr>
        <w:t>6</w:t>
      </w:r>
      <w:r w:rsidRPr="000D70AC">
        <w:rPr>
          <w:rFonts w:asciiTheme="minorHAnsi" w:hAnsiTheme="minorHAnsi" w:cstheme="minorHAnsi"/>
          <w:b/>
          <w:bCs/>
          <w:sz w:val="22"/>
          <w:szCs w:val="22"/>
        </w:rPr>
        <w:t xml:space="preserve">: </w:t>
      </w:r>
      <w:r>
        <w:rPr>
          <w:rFonts w:asciiTheme="minorHAnsi" w:hAnsiTheme="minorHAnsi" w:cstheme="minorHAnsi"/>
          <w:b/>
          <w:bCs/>
          <w:sz w:val="22"/>
          <w:szCs w:val="22"/>
        </w:rPr>
        <w:t xml:space="preserve">Projects that are Add-Ons to Existing Projects to Incorporate Updated Research Needs, </w:t>
      </w:r>
      <w:r w:rsidR="00B962C0">
        <w:rPr>
          <w:rFonts w:asciiTheme="minorHAnsi" w:hAnsiTheme="minorHAnsi" w:cstheme="minorHAnsi"/>
          <w:b/>
          <w:bCs/>
          <w:sz w:val="22"/>
          <w:szCs w:val="22"/>
        </w:rPr>
        <w:t>P</w:t>
      </w:r>
      <w:r>
        <w:rPr>
          <w:rFonts w:asciiTheme="minorHAnsi" w:hAnsiTheme="minorHAnsi" w:cstheme="minorHAnsi"/>
          <w:b/>
          <w:bCs/>
          <w:sz w:val="22"/>
          <w:szCs w:val="22"/>
        </w:rPr>
        <w:t>art 2</w:t>
      </w:r>
      <w:bookmarkEnd w:id="13"/>
    </w:p>
    <w:p w14:paraId="5343EA3C" w14:textId="71BFC943" w:rsidR="005F70EC" w:rsidRDefault="005F70EC">
      <w:pPr>
        <w:rPr>
          <w:i/>
          <w:iCs/>
        </w:rPr>
      </w:pPr>
      <w:r w:rsidRPr="005F70EC">
        <w:rPr>
          <w:noProof/>
        </w:rPr>
        <w:drawing>
          <wp:inline distT="0" distB="0" distL="0" distR="0" wp14:anchorId="54D50B53" wp14:editId="1A8C38EA">
            <wp:extent cx="5943600" cy="72980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7298055"/>
                    </a:xfrm>
                    <a:prstGeom prst="rect">
                      <a:avLst/>
                    </a:prstGeom>
                    <a:noFill/>
                    <a:ln>
                      <a:noFill/>
                    </a:ln>
                  </pic:spPr>
                </pic:pic>
              </a:graphicData>
            </a:graphic>
          </wp:inline>
        </w:drawing>
      </w:r>
    </w:p>
    <w:p w14:paraId="71CE48E9" w14:textId="11CFFF5E" w:rsidR="005F70EC" w:rsidRDefault="005F70EC">
      <w:pPr>
        <w:rPr>
          <w:i/>
          <w:iCs/>
        </w:rPr>
      </w:pPr>
    </w:p>
    <w:p w14:paraId="73848233" w14:textId="77777777" w:rsidR="005F70EC" w:rsidRDefault="005F70EC">
      <w:pPr>
        <w:rPr>
          <w:i/>
          <w:iCs/>
        </w:rPr>
      </w:pPr>
    </w:p>
    <w:p w14:paraId="406B7D62" w14:textId="51B43F24" w:rsidR="005F70EC" w:rsidRDefault="005F70EC" w:rsidP="005F70EC">
      <w:pPr>
        <w:pStyle w:val="Heading3"/>
        <w:rPr>
          <w:rFonts w:asciiTheme="minorHAnsi" w:hAnsiTheme="minorHAnsi" w:cstheme="minorHAnsi"/>
          <w:b/>
          <w:bCs/>
          <w:sz w:val="22"/>
          <w:szCs w:val="22"/>
        </w:rPr>
      </w:pPr>
      <w:bookmarkStart w:id="14" w:name="_Toc62551050"/>
      <w:r w:rsidRPr="000D70AC">
        <w:rPr>
          <w:rFonts w:asciiTheme="minorHAnsi" w:hAnsiTheme="minorHAnsi" w:cstheme="minorHAnsi"/>
          <w:b/>
          <w:bCs/>
          <w:sz w:val="22"/>
          <w:szCs w:val="22"/>
        </w:rPr>
        <w:t xml:space="preserve">Figure </w:t>
      </w:r>
      <w:r w:rsidR="000067B0">
        <w:rPr>
          <w:rFonts w:asciiTheme="minorHAnsi" w:hAnsiTheme="minorHAnsi" w:cstheme="minorHAnsi"/>
          <w:b/>
          <w:bCs/>
          <w:sz w:val="22"/>
          <w:szCs w:val="22"/>
        </w:rPr>
        <w:t>6</w:t>
      </w:r>
      <w:r w:rsidRPr="000D70AC">
        <w:rPr>
          <w:rFonts w:asciiTheme="minorHAnsi" w:hAnsiTheme="minorHAnsi" w:cstheme="minorHAnsi"/>
          <w:b/>
          <w:bCs/>
          <w:sz w:val="22"/>
          <w:szCs w:val="22"/>
        </w:rPr>
        <w:t xml:space="preserve">: </w:t>
      </w:r>
      <w:r>
        <w:rPr>
          <w:rFonts w:asciiTheme="minorHAnsi" w:hAnsiTheme="minorHAnsi" w:cstheme="minorHAnsi"/>
          <w:b/>
          <w:bCs/>
          <w:sz w:val="22"/>
          <w:szCs w:val="22"/>
        </w:rPr>
        <w:t xml:space="preserve">Projects that are Add-Ons to Existing Projects to Incorporate Updated Research Needs, </w:t>
      </w:r>
      <w:r w:rsidR="00B962C0">
        <w:rPr>
          <w:rFonts w:asciiTheme="minorHAnsi" w:hAnsiTheme="minorHAnsi" w:cstheme="minorHAnsi"/>
          <w:b/>
          <w:bCs/>
          <w:sz w:val="22"/>
          <w:szCs w:val="22"/>
        </w:rPr>
        <w:t>P</w:t>
      </w:r>
      <w:r>
        <w:rPr>
          <w:rFonts w:asciiTheme="minorHAnsi" w:hAnsiTheme="minorHAnsi" w:cstheme="minorHAnsi"/>
          <w:b/>
          <w:bCs/>
          <w:sz w:val="22"/>
          <w:szCs w:val="22"/>
        </w:rPr>
        <w:t>art 3</w:t>
      </w:r>
      <w:bookmarkEnd w:id="14"/>
    </w:p>
    <w:p w14:paraId="0AE72538" w14:textId="1491782A" w:rsidR="00426D8B" w:rsidRDefault="00426D8B" w:rsidP="00426D8B">
      <w:r w:rsidRPr="00426D8B">
        <w:rPr>
          <w:noProof/>
        </w:rPr>
        <w:drawing>
          <wp:inline distT="0" distB="0" distL="0" distR="0" wp14:anchorId="45BEEDBD" wp14:editId="50787A9C">
            <wp:extent cx="6309360" cy="6794500"/>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09360" cy="6794500"/>
                    </a:xfrm>
                    <a:prstGeom prst="rect">
                      <a:avLst/>
                    </a:prstGeom>
                    <a:noFill/>
                    <a:ln>
                      <a:noFill/>
                    </a:ln>
                  </pic:spPr>
                </pic:pic>
              </a:graphicData>
            </a:graphic>
          </wp:inline>
        </w:drawing>
      </w:r>
    </w:p>
    <w:p w14:paraId="62C7E093" w14:textId="77777777" w:rsidR="00426D8B" w:rsidRPr="00426D8B" w:rsidRDefault="00426D8B" w:rsidP="00426D8B"/>
    <w:p w14:paraId="38D08968" w14:textId="39049BDF" w:rsidR="005F70EC" w:rsidRDefault="005F70EC" w:rsidP="00582F9C">
      <w:pPr>
        <w:spacing w:after="0" w:line="247" w:lineRule="auto"/>
        <w:rPr>
          <w:i/>
          <w:iCs/>
        </w:rPr>
      </w:pPr>
    </w:p>
    <w:p w14:paraId="1F1C3524" w14:textId="1364A9F3" w:rsidR="005F70EC" w:rsidRDefault="005F70EC" w:rsidP="00582F9C">
      <w:pPr>
        <w:spacing w:after="0" w:line="247" w:lineRule="auto"/>
        <w:rPr>
          <w:i/>
          <w:iCs/>
        </w:rPr>
      </w:pPr>
    </w:p>
    <w:p w14:paraId="17D8871A" w14:textId="03EBBD22" w:rsidR="005F70EC" w:rsidRDefault="005F70EC" w:rsidP="00582F9C">
      <w:pPr>
        <w:spacing w:after="0" w:line="247" w:lineRule="auto"/>
        <w:rPr>
          <w:i/>
          <w:iCs/>
        </w:rPr>
      </w:pPr>
    </w:p>
    <w:p w14:paraId="05C380AB" w14:textId="77777777" w:rsidR="005F70EC" w:rsidRDefault="005F70EC" w:rsidP="00582F9C">
      <w:pPr>
        <w:spacing w:after="0" w:line="247" w:lineRule="auto"/>
        <w:rPr>
          <w:i/>
          <w:iCs/>
        </w:rPr>
      </w:pPr>
    </w:p>
    <w:p w14:paraId="6350FF81" w14:textId="5F481BD3" w:rsidR="00C76EF4" w:rsidRPr="000D70AC" w:rsidRDefault="000D70AC" w:rsidP="000D70AC">
      <w:pPr>
        <w:pStyle w:val="Heading3"/>
        <w:rPr>
          <w:rFonts w:asciiTheme="minorHAnsi" w:hAnsiTheme="minorHAnsi" w:cstheme="minorHAnsi"/>
          <w:b/>
          <w:bCs/>
          <w:sz w:val="22"/>
          <w:szCs w:val="22"/>
        </w:rPr>
      </w:pPr>
      <w:bookmarkStart w:id="15" w:name="_Toc62551051"/>
      <w:r w:rsidRPr="000D70AC">
        <w:rPr>
          <w:rFonts w:asciiTheme="minorHAnsi" w:hAnsiTheme="minorHAnsi" w:cstheme="minorHAnsi"/>
          <w:b/>
          <w:bCs/>
          <w:sz w:val="22"/>
          <w:szCs w:val="22"/>
        </w:rPr>
        <w:t xml:space="preserve">Figure </w:t>
      </w:r>
      <w:r w:rsidR="000067B0">
        <w:rPr>
          <w:rFonts w:asciiTheme="minorHAnsi" w:hAnsiTheme="minorHAnsi" w:cstheme="minorHAnsi"/>
          <w:b/>
          <w:bCs/>
          <w:sz w:val="22"/>
          <w:szCs w:val="22"/>
        </w:rPr>
        <w:t>7</w:t>
      </w:r>
      <w:r w:rsidR="00C76EF4" w:rsidRPr="000D70AC">
        <w:rPr>
          <w:rFonts w:asciiTheme="minorHAnsi" w:hAnsiTheme="minorHAnsi" w:cstheme="minorHAnsi"/>
          <w:b/>
          <w:bCs/>
          <w:sz w:val="22"/>
          <w:szCs w:val="22"/>
        </w:rPr>
        <w:t xml:space="preserve">: </w:t>
      </w:r>
      <w:r w:rsidR="00DA0E89">
        <w:rPr>
          <w:rFonts w:asciiTheme="minorHAnsi" w:hAnsiTheme="minorHAnsi" w:cstheme="minorHAnsi"/>
          <w:b/>
          <w:bCs/>
          <w:sz w:val="22"/>
          <w:szCs w:val="22"/>
        </w:rPr>
        <w:t>P</w:t>
      </w:r>
      <w:r w:rsidR="00C76EF4" w:rsidRPr="000D70AC">
        <w:rPr>
          <w:rFonts w:asciiTheme="minorHAnsi" w:hAnsiTheme="minorHAnsi" w:cstheme="minorHAnsi"/>
          <w:b/>
          <w:bCs/>
          <w:sz w:val="22"/>
          <w:szCs w:val="22"/>
        </w:rPr>
        <w:t>roject</w:t>
      </w:r>
      <w:r w:rsidR="005F70EC">
        <w:rPr>
          <w:rFonts w:asciiTheme="minorHAnsi" w:hAnsiTheme="minorHAnsi" w:cstheme="minorHAnsi"/>
          <w:b/>
          <w:bCs/>
          <w:sz w:val="22"/>
          <w:szCs w:val="22"/>
        </w:rPr>
        <w:t>s</w:t>
      </w:r>
      <w:r w:rsidR="00C76EF4" w:rsidRPr="000D70AC">
        <w:rPr>
          <w:rFonts w:asciiTheme="minorHAnsi" w:hAnsiTheme="minorHAnsi" w:cstheme="minorHAnsi"/>
          <w:b/>
          <w:bCs/>
          <w:sz w:val="22"/>
          <w:szCs w:val="22"/>
        </w:rPr>
        <w:t xml:space="preserve"> </w:t>
      </w:r>
      <w:r w:rsidR="00DA0E89">
        <w:rPr>
          <w:rFonts w:asciiTheme="minorHAnsi" w:hAnsiTheme="minorHAnsi" w:cstheme="minorHAnsi"/>
          <w:b/>
          <w:bCs/>
          <w:sz w:val="22"/>
          <w:szCs w:val="22"/>
        </w:rPr>
        <w:t>R</w:t>
      </w:r>
      <w:r w:rsidR="00C76EF4" w:rsidRPr="000D70AC">
        <w:rPr>
          <w:rFonts w:asciiTheme="minorHAnsi" w:hAnsiTheme="minorHAnsi" w:cstheme="minorHAnsi"/>
          <w:b/>
          <w:bCs/>
          <w:sz w:val="22"/>
          <w:szCs w:val="22"/>
        </w:rPr>
        <w:t xml:space="preserve">ecommended </w:t>
      </w:r>
      <w:r w:rsidR="00027D42">
        <w:rPr>
          <w:rFonts w:asciiTheme="minorHAnsi" w:hAnsiTheme="minorHAnsi" w:cstheme="minorHAnsi"/>
          <w:b/>
          <w:bCs/>
          <w:sz w:val="22"/>
          <w:szCs w:val="22"/>
        </w:rPr>
        <w:t>for RFP Process</w:t>
      </w:r>
      <w:bookmarkEnd w:id="15"/>
    </w:p>
    <w:p w14:paraId="4FEC533F" w14:textId="29436251" w:rsidR="000210CD" w:rsidRDefault="000210CD" w:rsidP="00582F9C">
      <w:pPr>
        <w:spacing w:after="0" w:line="247" w:lineRule="auto"/>
        <w:rPr>
          <w:i/>
          <w:iCs/>
          <w:sz w:val="20"/>
          <w:szCs w:val="20"/>
        </w:rPr>
      </w:pPr>
      <w:r w:rsidRPr="000210CD">
        <w:rPr>
          <w:i/>
          <w:iCs/>
          <w:sz w:val="20"/>
          <w:szCs w:val="20"/>
        </w:rPr>
        <w:t>Includes brief description of rationale for inclusion in the update</w:t>
      </w:r>
    </w:p>
    <w:p w14:paraId="191F8BBB" w14:textId="3E25D24B" w:rsidR="00426D8B" w:rsidRDefault="00426D8B" w:rsidP="00582F9C">
      <w:pPr>
        <w:spacing w:after="0" w:line="247" w:lineRule="auto"/>
        <w:rPr>
          <w:i/>
          <w:iCs/>
          <w:sz w:val="20"/>
          <w:szCs w:val="20"/>
        </w:rPr>
      </w:pPr>
      <w:r w:rsidRPr="00426D8B">
        <w:rPr>
          <w:noProof/>
        </w:rPr>
        <w:drawing>
          <wp:inline distT="0" distB="0" distL="0" distR="0" wp14:anchorId="3C361387" wp14:editId="0EE38C34">
            <wp:extent cx="6309360" cy="59937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09360" cy="5993765"/>
                    </a:xfrm>
                    <a:prstGeom prst="rect">
                      <a:avLst/>
                    </a:prstGeom>
                    <a:noFill/>
                    <a:ln>
                      <a:noFill/>
                    </a:ln>
                  </pic:spPr>
                </pic:pic>
              </a:graphicData>
            </a:graphic>
          </wp:inline>
        </w:drawing>
      </w:r>
    </w:p>
    <w:p w14:paraId="00FD2174" w14:textId="77777777" w:rsidR="00426D8B" w:rsidRPr="00DA3B2C" w:rsidRDefault="00426D8B" w:rsidP="00582F9C">
      <w:pPr>
        <w:spacing w:after="0" w:line="247" w:lineRule="auto"/>
        <w:rPr>
          <w:i/>
          <w:iCs/>
          <w:sz w:val="20"/>
          <w:szCs w:val="20"/>
        </w:rPr>
      </w:pPr>
    </w:p>
    <w:p w14:paraId="79BAA154" w14:textId="4A865772" w:rsidR="00703EC8" w:rsidRPr="00582F9C" w:rsidRDefault="00703EC8" w:rsidP="00582F9C">
      <w:pPr>
        <w:spacing w:after="0" w:line="247" w:lineRule="auto"/>
      </w:pPr>
    </w:p>
    <w:p w14:paraId="509BCE4C" w14:textId="2682A18A" w:rsidR="00C76EF4" w:rsidRDefault="00C76EF4" w:rsidP="00582F9C">
      <w:pPr>
        <w:spacing w:after="0" w:line="247" w:lineRule="auto"/>
      </w:pPr>
    </w:p>
    <w:p w14:paraId="398CFACF" w14:textId="77777777" w:rsidR="005F70EC" w:rsidRDefault="005F70EC">
      <w:pPr>
        <w:rPr>
          <w:rFonts w:eastAsiaTheme="majorEastAsia" w:cstheme="minorHAnsi"/>
          <w:b/>
          <w:bCs/>
          <w:color w:val="1F4D78" w:themeColor="accent1" w:themeShade="7F"/>
        </w:rPr>
      </w:pPr>
      <w:r>
        <w:rPr>
          <w:rFonts w:cstheme="minorHAnsi"/>
          <w:b/>
          <w:bCs/>
        </w:rPr>
        <w:br w:type="page"/>
      </w:r>
    </w:p>
    <w:p w14:paraId="37994579" w14:textId="0456FA61" w:rsidR="00027D42" w:rsidRPr="000D70AC" w:rsidRDefault="00027D42" w:rsidP="00027D42">
      <w:pPr>
        <w:pStyle w:val="Heading3"/>
        <w:rPr>
          <w:rFonts w:asciiTheme="minorHAnsi" w:hAnsiTheme="minorHAnsi" w:cstheme="minorHAnsi"/>
          <w:b/>
          <w:bCs/>
          <w:sz w:val="22"/>
          <w:szCs w:val="22"/>
        </w:rPr>
      </w:pPr>
      <w:bookmarkStart w:id="16" w:name="_Toc62551052"/>
      <w:r w:rsidRPr="000D70AC">
        <w:rPr>
          <w:rFonts w:asciiTheme="minorHAnsi" w:hAnsiTheme="minorHAnsi" w:cstheme="minorHAnsi"/>
          <w:b/>
          <w:bCs/>
          <w:sz w:val="22"/>
          <w:szCs w:val="22"/>
        </w:rPr>
        <w:t xml:space="preserve">Figure </w:t>
      </w:r>
      <w:r w:rsidR="000067B0">
        <w:rPr>
          <w:rFonts w:asciiTheme="minorHAnsi" w:hAnsiTheme="minorHAnsi" w:cstheme="minorHAnsi"/>
          <w:b/>
          <w:bCs/>
          <w:sz w:val="22"/>
          <w:szCs w:val="22"/>
        </w:rPr>
        <w:t>8</w:t>
      </w:r>
      <w:r w:rsidRPr="000D70AC">
        <w:rPr>
          <w:rFonts w:asciiTheme="minorHAnsi" w:hAnsiTheme="minorHAnsi" w:cstheme="minorHAnsi"/>
          <w:b/>
          <w:bCs/>
          <w:sz w:val="22"/>
          <w:szCs w:val="22"/>
        </w:rPr>
        <w:t xml:space="preserve">: </w:t>
      </w:r>
      <w:r w:rsidR="005F70EC">
        <w:rPr>
          <w:rFonts w:asciiTheme="minorHAnsi" w:hAnsiTheme="minorHAnsi" w:cstheme="minorHAnsi"/>
          <w:b/>
          <w:bCs/>
          <w:sz w:val="22"/>
          <w:szCs w:val="22"/>
        </w:rPr>
        <w:t>P</w:t>
      </w:r>
      <w:r w:rsidRPr="000D70AC">
        <w:rPr>
          <w:rFonts w:asciiTheme="minorHAnsi" w:hAnsiTheme="minorHAnsi" w:cstheme="minorHAnsi"/>
          <w:b/>
          <w:bCs/>
          <w:sz w:val="22"/>
          <w:szCs w:val="22"/>
        </w:rPr>
        <w:t xml:space="preserve">roject </w:t>
      </w:r>
      <w:r>
        <w:rPr>
          <w:rFonts w:asciiTheme="minorHAnsi" w:hAnsiTheme="minorHAnsi" w:cstheme="minorHAnsi"/>
          <w:b/>
          <w:bCs/>
          <w:sz w:val="22"/>
          <w:szCs w:val="22"/>
        </w:rPr>
        <w:t>C</w:t>
      </w:r>
      <w:r w:rsidRPr="000D70AC">
        <w:rPr>
          <w:rFonts w:asciiTheme="minorHAnsi" w:hAnsiTheme="minorHAnsi" w:cstheme="minorHAnsi"/>
          <w:b/>
          <w:bCs/>
          <w:sz w:val="22"/>
          <w:szCs w:val="22"/>
        </w:rPr>
        <w:t xml:space="preserve">oncepts </w:t>
      </w:r>
      <w:r>
        <w:rPr>
          <w:rFonts w:asciiTheme="minorHAnsi" w:hAnsiTheme="minorHAnsi" w:cstheme="minorHAnsi"/>
          <w:b/>
          <w:bCs/>
          <w:sz w:val="22"/>
          <w:szCs w:val="22"/>
        </w:rPr>
        <w:t>Not Recommended for 2021 Plan Update</w:t>
      </w:r>
      <w:r w:rsidR="005F70EC">
        <w:rPr>
          <w:rFonts w:asciiTheme="minorHAnsi" w:hAnsiTheme="minorHAnsi" w:cstheme="minorHAnsi"/>
          <w:b/>
          <w:bCs/>
          <w:sz w:val="22"/>
          <w:szCs w:val="22"/>
        </w:rPr>
        <w:t>, Part 1</w:t>
      </w:r>
      <w:bookmarkEnd w:id="16"/>
    </w:p>
    <w:p w14:paraId="0E0B0F7F" w14:textId="77777777" w:rsidR="00027D42" w:rsidRPr="00DA3B2C" w:rsidRDefault="00027D42" w:rsidP="00027D42">
      <w:pPr>
        <w:spacing w:after="0" w:line="247" w:lineRule="auto"/>
        <w:rPr>
          <w:i/>
          <w:iCs/>
          <w:sz w:val="20"/>
          <w:szCs w:val="20"/>
        </w:rPr>
      </w:pPr>
      <w:r w:rsidRPr="000210CD">
        <w:rPr>
          <w:i/>
          <w:iCs/>
          <w:sz w:val="20"/>
          <w:szCs w:val="20"/>
        </w:rPr>
        <w:t>Includes brief description of rationale for inclusion in the update</w:t>
      </w:r>
    </w:p>
    <w:p w14:paraId="7C7BEB7E" w14:textId="63F1488A" w:rsidR="00027D42" w:rsidRDefault="005F70EC" w:rsidP="00582F9C">
      <w:pPr>
        <w:spacing w:after="0" w:line="247" w:lineRule="auto"/>
      </w:pPr>
      <w:r w:rsidRPr="005F70EC">
        <w:rPr>
          <w:noProof/>
        </w:rPr>
        <w:drawing>
          <wp:inline distT="0" distB="0" distL="0" distR="0" wp14:anchorId="413C465B" wp14:editId="7DA6F9AB">
            <wp:extent cx="5943600" cy="76276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7627620"/>
                    </a:xfrm>
                    <a:prstGeom prst="rect">
                      <a:avLst/>
                    </a:prstGeom>
                    <a:noFill/>
                    <a:ln>
                      <a:noFill/>
                    </a:ln>
                  </pic:spPr>
                </pic:pic>
              </a:graphicData>
            </a:graphic>
          </wp:inline>
        </w:drawing>
      </w:r>
    </w:p>
    <w:p w14:paraId="4022A6B4" w14:textId="26F368E1" w:rsidR="00027D42" w:rsidRDefault="00027D42" w:rsidP="00582F9C">
      <w:pPr>
        <w:spacing w:after="0" w:line="247" w:lineRule="auto"/>
      </w:pPr>
    </w:p>
    <w:p w14:paraId="14B64B4C" w14:textId="24D9C842" w:rsidR="005F70EC" w:rsidRDefault="005F70EC" w:rsidP="005F70EC">
      <w:pPr>
        <w:pStyle w:val="Heading3"/>
        <w:rPr>
          <w:rFonts w:asciiTheme="minorHAnsi" w:hAnsiTheme="minorHAnsi" w:cstheme="minorHAnsi"/>
          <w:b/>
          <w:bCs/>
          <w:sz w:val="22"/>
          <w:szCs w:val="22"/>
        </w:rPr>
      </w:pPr>
      <w:bookmarkStart w:id="17" w:name="_Toc62551053"/>
      <w:r w:rsidRPr="000D70AC">
        <w:rPr>
          <w:rFonts w:asciiTheme="minorHAnsi" w:hAnsiTheme="minorHAnsi" w:cstheme="minorHAnsi"/>
          <w:b/>
          <w:bCs/>
          <w:sz w:val="22"/>
          <w:szCs w:val="22"/>
        </w:rPr>
        <w:t xml:space="preserve">Figure </w:t>
      </w:r>
      <w:r w:rsidR="000067B0">
        <w:rPr>
          <w:rFonts w:asciiTheme="minorHAnsi" w:hAnsiTheme="minorHAnsi" w:cstheme="minorHAnsi"/>
          <w:b/>
          <w:bCs/>
          <w:sz w:val="22"/>
          <w:szCs w:val="22"/>
        </w:rPr>
        <w:t>8</w:t>
      </w:r>
      <w:r w:rsidRPr="000D70AC">
        <w:rPr>
          <w:rFonts w:asciiTheme="minorHAnsi" w:hAnsiTheme="minorHAnsi" w:cstheme="minorHAnsi"/>
          <w:b/>
          <w:bCs/>
          <w:sz w:val="22"/>
          <w:szCs w:val="22"/>
        </w:rPr>
        <w:t xml:space="preserve">: </w:t>
      </w:r>
      <w:r>
        <w:rPr>
          <w:rFonts w:asciiTheme="minorHAnsi" w:hAnsiTheme="minorHAnsi" w:cstheme="minorHAnsi"/>
          <w:b/>
          <w:bCs/>
          <w:sz w:val="22"/>
          <w:szCs w:val="22"/>
        </w:rPr>
        <w:t>P</w:t>
      </w:r>
      <w:r w:rsidRPr="000D70AC">
        <w:rPr>
          <w:rFonts w:asciiTheme="minorHAnsi" w:hAnsiTheme="minorHAnsi" w:cstheme="minorHAnsi"/>
          <w:b/>
          <w:bCs/>
          <w:sz w:val="22"/>
          <w:szCs w:val="22"/>
        </w:rPr>
        <w:t xml:space="preserve">roject </w:t>
      </w:r>
      <w:r>
        <w:rPr>
          <w:rFonts w:asciiTheme="minorHAnsi" w:hAnsiTheme="minorHAnsi" w:cstheme="minorHAnsi"/>
          <w:b/>
          <w:bCs/>
          <w:sz w:val="22"/>
          <w:szCs w:val="22"/>
        </w:rPr>
        <w:t>C</w:t>
      </w:r>
      <w:r w:rsidRPr="000D70AC">
        <w:rPr>
          <w:rFonts w:asciiTheme="minorHAnsi" w:hAnsiTheme="minorHAnsi" w:cstheme="minorHAnsi"/>
          <w:b/>
          <w:bCs/>
          <w:sz w:val="22"/>
          <w:szCs w:val="22"/>
        </w:rPr>
        <w:t xml:space="preserve">oncepts </w:t>
      </w:r>
      <w:r>
        <w:rPr>
          <w:rFonts w:asciiTheme="minorHAnsi" w:hAnsiTheme="minorHAnsi" w:cstheme="minorHAnsi"/>
          <w:b/>
          <w:bCs/>
          <w:sz w:val="22"/>
          <w:szCs w:val="22"/>
        </w:rPr>
        <w:t>Not Recommended for 2021 Plan Update, Part 2</w:t>
      </w:r>
      <w:bookmarkEnd w:id="17"/>
    </w:p>
    <w:p w14:paraId="19510EA0" w14:textId="4FD65334" w:rsidR="005F70EC" w:rsidRDefault="005F70EC" w:rsidP="005F70EC">
      <w:r w:rsidRPr="005F70EC">
        <w:rPr>
          <w:noProof/>
        </w:rPr>
        <w:drawing>
          <wp:inline distT="0" distB="0" distL="0" distR="0" wp14:anchorId="64D834A5" wp14:editId="1EFAB5DA">
            <wp:extent cx="5943600" cy="7847330"/>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7847330"/>
                    </a:xfrm>
                    <a:prstGeom prst="rect">
                      <a:avLst/>
                    </a:prstGeom>
                    <a:noFill/>
                    <a:ln>
                      <a:noFill/>
                    </a:ln>
                  </pic:spPr>
                </pic:pic>
              </a:graphicData>
            </a:graphic>
          </wp:inline>
        </w:drawing>
      </w:r>
    </w:p>
    <w:p w14:paraId="36714929" w14:textId="77777777" w:rsidR="005F70EC" w:rsidRDefault="005F70EC" w:rsidP="00582F9C">
      <w:pPr>
        <w:spacing w:after="0" w:line="247" w:lineRule="auto"/>
      </w:pPr>
    </w:p>
    <w:p w14:paraId="4585491D" w14:textId="2FEA03D1" w:rsidR="005F70EC" w:rsidRPr="000D70AC" w:rsidRDefault="005F70EC" w:rsidP="005F70EC">
      <w:pPr>
        <w:pStyle w:val="Heading3"/>
        <w:rPr>
          <w:rFonts w:asciiTheme="minorHAnsi" w:hAnsiTheme="minorHAnsi" w:cstheme="minorHAnsi"/>
          <w:b/>
          <w:bCs/>
          <w:sz w:val="22"/>
          <w:szCs w:val="22"/>
        </w:rPr>
      </w:pPr>
      <w:bookmarkStart w:id="18" w:name="_Toc62551054"/>
      <w:r w:rsidRPr="000D70AC">
        <w:rPr>
          <w:rFonts w:asciiTheme="minorHAnsi" w:hAnsiTheme="minorHAnsi" w:cstheme="minorHAnsi"/>
          <w:b/>
          <w:bCs/>
          <w:sz w:val="22"/>
          <w:szCs w:val="22"/>
        </w:rPr>
        <w:t xml:space="preserve">Figure </w:t>
      </w:r>
      <w:r w:rsidR="000067B0">
        <w:rPr>
          <w:rFonts w:asciiTheme="minorHAnsi" w:hAnsiTheme="minorHAnsi" w:cstheme="minorHAnsi"/>
          <w:b/>
          <w:bCs/>
          <w:sz w:val="22"/>
          <w:szCs w:val="22"/>
        </w:rPr>
        <w:t>8</w:t>
      </w:r>
      <w:r w:rsidRPr="000D70AC">
        <w:rPr>
          <w:rFonts w:asciiTheme="minorHAnsi" w:hAnsiTheme="minorHAnsi" w:cstheme="minorHAnsi"/>
          <w:b/>
          <w:bCs/>
          <w:sz w:val="22"/>
          <w:szCs w:val="22"/>
        </w:rPr>
        <w:t xml:space="preserve">: </w:t>
      </w:r>
      <w:r>
        <w:rPr>
          <w:rFonts w:asciiTheme="minorHAnsi" w:hAnsiTheme="minorHAnsi" w:cstheme="minorHAnsi"/>
          <w:b/>
          <w:bCs/>
          <w:sz w:val="22"/>
          <w:szCs w:val="22"/>
        </w:rPr>
        <w:t>P</w:t>
      </w:r>
      <w:r w:rsidRPr="000D70AC">
        <w:rPr>
          <w:rFonts w:asciiTheme="minorHAnsi" w:hAnsiTheme="minorHAnsi" w:cstheme="minorHAnsi"/>
          <w:b/>
          <w:bCs/>
          <w:sz w:val="22"/>
          <w:szCs w:val="22"/>
        </w:rPr>
        <w:t xml:space="preserve">roject </w:t>
      </w:r>
      <w:r>
        <w:rPr>
          <w:rFonts w:asciiTheme="minorHAnsi" w:hAnsiTheme="minorHAnsi" w:cstheme="minorHAnsi"/>
          <w:b/>
          <w:bCs/>
          <w:sz w:val="22"/>
          <w:szCs w:val="22"/>
        </w:rPr>
        <w:t>C</w:t>
      </w:r>
      <w:r w:rsidRPr="000D70AC">
        <w:rPr>
          <w:rFonts w:asciiTheme="minorHAnsi" w:hAnsiTheme="minorHAnsi" w:cstheme="minorHAnsi"/>
          <w:b/>
          <w:bCs/>
          <w:sz w:val="22"/>
          <w:szCs w:val="22"/>
        </w:rPr>
        <w:t xml:space="preserve">oncepts </w:t>
      </w:r>
      <w:r>
        <w:rPr>
          <w:rFonts w:asciiTheme="minorHAnsi" w:hAnsiTheme="minorHAnsi" w:cstheme="minorHAnsi"/>
          <w:b/>
          <w:bCs/>
          <w:sz w:val="22"/>
          <w:szCs w:val="22"/>
        </w:rPr>
        <w:t>Not Recommended for 2021 Plan Update, Part 3</w:t>
      </w:r>
      <w:bookmarkEnd w:id="18"/>
    </w:p>
    <w:p w14:paraId="46BC6BED" w14:textId="6116EBDC" w:rsidR="005F70EC" w:rsidRDefault="00007F4D" w:rsidP="00582F9C">
      <w:pPr>
        <w:spacing w:after="0" w:line="247" w:lineRule="auto"/>
      </w:pPr>
      <w:r w:rsidRPr="00007F4D">
        <w:rPr>
          <w:noProof/>
        </w:rPr>
        <w:drawing>
          <wp:inline distT="0" distB="0" distL="0" distR="0" wp14:anchorId="0C1E5F53" wp14:editId="382EFA51">
            <wp:extent cx="5943600" cy="40538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4053840"/>
                    </a:xfrm>
                    <a:prstGeom prst="rect">
                      <a:avLst/>
                    </a:prstGeom>
                    <a:noFill/>
                    <a:ln>
                      <a:noFill/>
                    </a:ln>
                  </pic:spPr>
                </pic:pic>
              </a:graphicData>
            </a:graphic>
          </wp:inline>
        </w:drawing>
      </w:r>
    </w:p>
    <w:p w14:paraId="55248B5E" w14:textId="77777777" w:rsidR="005F70EC" w:rsidRDefault="005F70EC" w:rsidP="00582F9C">
      <w:pPr>
        <w:spacing w:after="0" w:line="247" w:lineRule="auto"/>
      </w:pPr>
    </w:p>
    <w:p w14:paraId="05FA7857" w14:textId="74E742B9" w:rsidR="00027D42" w:rsidRDefault="00027D42" w:rsidP="00582F9C">
      <w:pPr>
        <w:spacing w:after="0" w:line="247" w:lineRule="auto"/>
      </w:pPr>
    </w:p>
    <w:p w14:paraId="778C93A2" w14:textId="77777777" w:rsidR="00007F4D" w:rsidRDefault="00007F4D">
      <w:pPr>
        <w:rPr>
          <w:rFonts w:eastAsiaTheme="majorEastAsia" w:cstheme="minorHAnsi"/>
          <w:b/>
          <w:bCs/>
          <w:color w:val="1F4D78" w:themeColor="accent1" w:themeShade="7F"/>
        </w:rPr>
      </w:pPr>
      <w:r>
        <w:rPr>
          <w:rFonts w:cstheme="minorHAnsi"/>
          <w:b/>
          <w:bCs/>
        </w:rPr>
        <w:br w:type="page"/>
      </w:r>
    </w:p>
    <w:p w14:paraId="648AAB36" w14:textId="436F4846" w:rsidR="00007F4D" w:rsidRPr="00F55BFC" w:rsidRDefault="00007F4D" w:rsidP="00155C43">
      <w:pPr>
        <w:pStyle w:val="Heading1"/>
      </w:pPr>
      <w:bookmarkStart w:id="19" w:name="_Toc62551055"/>
      <w:r>
        <w:t xml:space="preserve">Appendix A </w:t>
      </w:r>
      <w:r w:rsidR="00197156">
        <w:t>–</w:t>
      </w:r>
      <w:r>
        <w:t xml:space="preserve"> Brief</w:t>
      </w:r>
      <w:r w:rsidR="00197156">
        <w:t xml:space="preserve"> Summary Notes</w:t>
      </w:r>
      <w:r>
        <w:t xml:space="preserve"> of 2021 Plan Update Projects</w:t>
      </w:r>
      <w:bookmarkEnd w:id="19"/>
    </w:p>
    <w:p w14:paraId="52807F5A" w14:textId="6662CE79" w:rsidR="00007F4D" w:rsidRDefault="00007F4D" w:rsidP="00027D42">
      <w:pPr>
        <w:pStyle w:val="Heading3"/>
        <w:rPr>
          <w:rFonts w:asciiTheme="minorHAnsi" w:hAnsiTheme="minorHAnsi" w:cstheme="minorHAnsi"/>
          <w:b/>
          <w:bCs/>
          <w:sz w:val="22"/>
          <w:szCs w:val="22"/>
        </w:rPr>
      </w:pPr>
    </w:p>
    <w:p w14:paraId="7797E174" w14:textId="6B157B3F" w:rsidR="00197156" w:rsidRPr="00B962C0" w:rsidRDefault="00197156" w:rsidP="00155C43">
      <w:pPr>
        <w:rPr>
          <w:b/>
          <w:bCs/>
          <w:color w:val="2E74B5" w:themeColor="accent1" w:themeShade="BF"/>
        </w:rPr>
      </w:pPr>
      <w:r w:rsidRPr="00B962C0">
        <w:rPr>
          <w:b/>
          <w:bCs/>
          <w:color w:val="2E74B5" w:themeColor="accent1" w:themeShade="BF"/>
        </w:rPr>
        <w:t>Projects with Budget Amendments</w:t>
      </w:r>
    </w:p>
    <w:p w14:paraId="3CEA3B62" w14:textId="2734EF36" w:rsidR="00197156" w:rsidRDefault="00197156" w:rsidP="00197156">
      <w:r w:rsidRPr="00155C43">
        <w:rPr>
          <w:b/>
          <w:bCs/>
        </w:rPr>
        <w:t>X1941 MF Impact Evaluation</w:t>
      </w:r>
      <w:r>
        <w:t xml:space="preserve"> -- Budget: Work is completed. </w:t>
      </w:r>
      <w:r w:rsidR="0054111E">
        <w:t>COVID-19</w:t>
      </w:r>
      <w:r>
        <w:t xml:space="preserve"> prevented contractor from doing workplan as bid.  This forced extra work in developing a remote collection process that was used. Money is only those extra </w:t>
      </w:r>
      <w:r w:rsidR="00CC0666">
        <w:t>COVID-19</w:t>
      </w:r>
      <w:r>
        <w:t xml:space="preserve"> related costs. - ($36K)</w:t>
      </w:r>
    </w:p>
    <w:p w14:paraId="00F4E4F7" w14:textId="509BBBD0" w:rsidR="00197156" w:rsidRDefault="0AB18F95" w:rsidP="00197156">
      <w:r w:rsidRPr="0AB18F95">
        <w:rPr>
          <w:b/>
          <w:bCs/>
        </w:rPr>
        <w:t>R1982 HVAC Metering</w:t>
      </w:r>
      <w:r>
        <w:t xml:space="preserve"> -- Budget: We approved $200K in extra funds last year to keep the meters in a second year.  COVID-19 halted installation for year 1.  Delete $150-200K of the new funds, moving to next 3-year plan because work cannot be done in this 3-year plan. These extra funds will be re-requested for subsequent years once project restarts (when it is safe to visit homes).  Frees up funds previously allocated for year 2 to other projects in 2021 timeframe. - ($-150K)</w:t>
      </w:r>
    </w:p>
    <w:p w14:paraId="4E007A59" w14:textId="4C777638" w:rsidR="00197156" w:rsidRDefault="00197156" w:rsidP="00197156">
      <w:r w:rsidRPr="00155C43">
        <w:rPr>
          <w:b/>
          <w:bCs/>
        </w:rPr>
        <w:t>C1901 - C&amp;I Sector-wide Process Eval (non-SBEA)</w:t>
      </w:r>
      <w:r>
        <w:t xml:space="preserve"> -- Budget: Funds are to </w:t>
      </w:r>
      <w:r w:rsidR="0054111E">
        <w:t>partially compensate</w:t>
      </w:r>
      <w:r>
        <w:t xml:space="preserve"> contractor for an unreasonably extended effort to complete routine data requests. Data request #1 was submitted 11/7/19. Work continues in Jan 2021 to obtain missing records and fill empty fields in the utility responses.  - ($20K)</w:t>
      </w:r>
    </w:p>
    <w:p w14:paraId="668145FC" w14:textId="77777777" w:rsidR="00197156" w:rsidRDefault="00197156" w:rsidP="00197156">
      <w:pPr>
        <w:rPr>
          <w:b/>
          <w:bCs/>
        </w:rPr>
      </w:pPr>
    </w:p>
    <w:p w14:paraId="03EE41E6" w14:textId="468817DB" w:rsidR="00197156" w:rsidRPr="00B962C0" w:rsidRDefault="00197156" w:rsidP="00197156">
      <w:pPr>
        <w:rPr>
          <w:b/>
          <w:bCs/>
          <w:color w:val="2E74B5" w:themeColor="accent1" w:themeShade="BF"/>
        </w:rPr>
      </w:pPr>
      <w:r w:rsidRPr="00B962C0">
        <w:rPr>
          <w:b/>
          <w:bCs/>
          <w:color w:val="2E74B5" w:themeColor="accent1" w:themeShade="BF"/>
        </w:rPr>
        <w:t>Tasks / Issues / Concepts Added on to Existing Projects</w:t>
      </w:r>
    </w:p>
    <w:p w14:paraId="74AFF48D" w14:textId="3DCD316F" w:rsidR="00197156" w:rsidRDefault="00197156" w:rsidP="00197156">
      <w:r w:rsidRPr="00155C43">
        <w:rPr>
          <w:b/>
          <w:bCs/>
        </w:rPr>
        <w:t>X1931 In-depth PSD Review</w:t>
      </w:r>
      <w:r>
        <w:t xml:space="preserve"> -- Budget: Phase 1 of the PSD review ran over budget a bit; we negotiated a shared responsibility and also compromised on funds for Phase 2.  Added funds for support to EA Team in discussions of 2022 PSD with utilities. - ($20K)</w:t>
      </w:r>
    </w:p>
    <w:p w14:paraId="1D45AA3A" w14:textId="7460E4C2" w:rsidR="00197156" w:rsidRDefault="0AB18F95" w:rsidP="00197156">
      <w:r w:rsidRPr="0AB18F95">
        <w:rPr>
          <w:b/>
          <w:bCs/>
        </w:rPr>
        <w:t>C1901 - C&amp;I Sector-wide Process Eval (non-SBEA)</w:t>
      </w:r>
      <w:r>
        <w:t xml:space="preserve"> -- Additional Profiling/equity: Extra funds will augment the customer/participant profiling task of the large C&amp;I sector. Additional deliverables include deeper analysis of program and customer equity and a database of program and consumption records of large and small C&amp;I sectors for the years 2017-2019. The database will be available to other evaluation contractors.   - ($55K)</w:t>
      </w:r>
    </w:p>
    <w:p w14:paraId="14A04738" w14:textId="3CB630A1" w:rsidR="00197156" w:rsidRDefault="00197156" w:rsidP="00197156">
      <w:r w:rsidRPr="00155C43">
        <w:rPr>
          <w:b/>
          <w:bCs/>
        </w:rPr>
        <w:t>X2022 - Education, Workforce, Community, Customer Engagement Evaluation</w:t>
      </w:r>
      <w:r>
        <w:t xml:space="preserve"> -- More programs than RFP'd: Extra funds are earmarked to expand this project to cover the extensive investment </w:t>
      </w:r>
      <w:r w:rsidR="0054111E">
        <w:t>in training</w:t>
      </w:r>
      <w:r>
        <w:t xml:space="preserve"> and education services funded by utility public goods charges. There is particular need to evaluate workforce development and the customer engagement portions of this initiative.  There has not been an evaluation in more than 10 years, despite the fact that that earlier evaluation was found to be extremely helpful. Extra funds will allow deeper assessment of most important activities within the three types of training and education categories. - ($140K)</w:t>
      </w:r>
    </w:p>
    <w:p w14:paraId="63D8E225" w14:textId="3A6B7CF3" w:rsidR="00197156" w:rsidRDefault="0AB18F95" w:rsidP="00197156">
      <w:r w:rsidRPr="0AB18F95">
        <w:rPr>
          <w:b/>
          <w:bCs/>
        </w:rPr>
        <w:t xml:space="preserve">R1983 - </w:t>
      </w:r>
      <w:proofErr w:type="spellStart"/>
      <w:r w:rsidRPr="0AB18F95">
        <w:rPr>
          <w:b/>
          <w:bCs/>
        </w:rPr>
        <w:t>HES</w:t>
      </w:r>
      <w:proofErr w:type="spellEnd"/>
      <w:r w:rsidRPr="0AB18F95">
        <w:rPr>
          <w:b/>
          <w:bCs/>
        </w:rPr>
        <w:t xml:space="preserve"> &amp; IE Impact, Process, and Profiling Evaluation</w:t>
      </w:r>
      <w:r>
        <w:t xml:space="preserve"> -- expanded equity, assessment/recommendation of COVID-19 virtual audit procedures: Extra funds are added to cover specific areas of interest.  These include an expanded investigation of participation/equity; program data-based review of COVID-19 related changes and impacts, particularly the use of remote audits and their applicability in post-COVID-19 program. - ($90K)</w:t>
      </w:r>
    </w:p>
    <w:p w14:paraId="12688521" w14:textId="77777777" w:rsidR="00197156" w:rsidRDefault="00197156" w:rsidP="00197156">
      <w:r w:rsidRPr="00155C43">
        <w:rPr>
          <w:b/>
          <w:bCs/>
        </w:rPr>
        <w:t>R2029 SF Weatherization Assessment / Update</w:t>
      </w:r>
      <w:r>
        <w:t xml:space="preserve"> - more coordination with DEEP process: Previous scope involved definition and metric, but DEEP has intentions around this definition, and is planning a public process.  Some additional work has involved understanding DEEP intentions and identifying the context of the work to date and applications for the work.  The $35k in additional funds are needed to address these expenses and complete the projects with some enhanced efforts.  NOTE: large on-site weatherization update was deferred in previous plan update (R1960) - ($35K)</w:t>
      </w:r>
    </w:p>
    <w:p w14:paraId="4EC7F4BD" w14:textId="77506B91" w:rsidR="00197156" w:rsidRDefault="00197156" w:rsidP="00197156">
      <w:r w:rsidRPr="00155C43">
        <w:rPr>
          <w:b/>
          <w:bCs/>
        </w:rPr>
        <w:t>X1932 - Demand Response (UI)</w:t>
      </w:r>
      <w:r>
        <w:t xml:space="preserve"> -- Add Eversource DR in CT: Evaluation desired for at least room A</w:t>
      </w:r>
      <w:r w:rsidR="0054111E">
        <w:t>ir conditioners (ACs)</w:t>
      </w:r>
      <w:r>
        <w:t xml:space="preserve"> used for DR in CT.  Implementers confirmed this offer didn’t end up getting rolled out in 2020, but will be for summer 2021.  The room ACs are only planned for CT; could be appropriate focus for CT project later 2021.  If support desired for some funding for CT work on Eversource programs by CT contractor, and potentially some to cover MA work evaluating larger multi-state DR programs run by Eversource, it would be decided later, out of emerging issues funds. - ($75K)</w:t>
      </w:r>
    </w:p>
    <w:p w14:paraId="6804E7E0" w14:textId="45BB897A" w:rsidR="00197156" w:rsidRDefault="00197156" w:rsidP="00197156">
      <w:r w:rsidRPr="00155C43">
        <w:rPr>
          <w:b/>
          <w:bCs/>
        </w:rPr>
        <w:t>R1959 - R&amp;A Program Evaluation</w:t>
      </w:r>
      <w:r>
        <w:t xml:space="preserve"> - Additional barriers research: Work completed thus far indicates that R&amp;A represents much more savings potential than from new construction, while also addressing large lost opportunities. However, as a new sector with few </w:t>
      </w:r>
      <w:proofErr w:type="gramStart"/>
      <w:r>
        <w:t>home</w:t>
      </w:r>
      <w:proofErr w:type="gramEnd"/>
      <w:r>
        <w:t xml:space="preserve"> improvement projects or contractors focused on energy efficiency, there are large barriers to developing this market.  Project extension is to delve deeper into these barriers and to develop a set of recommendations for overcoming them. - ($35K)</w:t>
      </w:r>
    </w:p>
    <w:p w14:paraId="1F4067D3" w14:textId="67F75339" w:rsidR="00197156" w:rsidRDefault="00197156" w:rsidP="00197156">
      <w:r w:rsidRPr="00155C43">
        <w:rPr>
          <w:b/>
          <w:bCs/>
        </w:rPr>
        <w:t>C1902 - ECB NTG and Baseline</w:t>
      </w:r>
      <w:r>
        <w:t xml:space="preserve"> - </w:t>
      </w:r>
      <w:r w:rsidR="0054111E">
        <w:t>A</w:t>
      </w:r>
      <w:r>
        <w:t>dd</w:t>
      </w:r>
      <w:r w:rsidR="0054111E">
        <w:t>itional</w:t>
      </w:r>
      <w:r>
        <w:t xml:space="preserve"> compliance work: Several stakeholders have expressed interest in better understanding new construction compliance patterns in CT in order to inform potential program development in this area.  There are typically significant synergies between studying baseline practices and compliance patterns in new construction, as both involve construction practices.  the elements related to NRNC code compliance fits well as an add-on to the non-residential new construction (NRNC) baseline study that has just resumed after being held up in the contracting. - ($90K)</w:t>
      </w:r>
    </w:p>
    <w:p w14:paraId="04DBCF44" w14:textId="538EA4A5" w:rsidR="00197156" w:rsidRDefault="00197156" w:rsidP="00197156">
      <w:r w:rsidRPr="00155C43">
        <w:rPr>
          <w:b/>
          <w:bCs/>
        </w:rPr>
        <w:t>C1902 - ECB NTG and Baseline</w:t>
      </w:r>
      <w:r>
        <w:t xml:space="preserve"> - NTG for add</w:t>
      </w:r>
      <w:r w:rsidR="0054111E">
        <w:t>itional</w:t>
      </w:r>
      <w:r>
        <w:t xml:space="preserve"> non-lighting upstream initiatives.: NTGRs were studied for EO and upstream lighting in a recently completed study, and the recently resumed study C1902 is looking at NTGRs for new construction.  However, NTGR for upstream non-lighting measures (especially including HVAC) constitutes a gap in recent and current impact evaluation efforts.  While the methods to be used in study C1902 have not been entirely pinned down yet, it is likely that there will be at least some synergies in working examination of NTGRs for upstream non-lighting measures into that study.  Therefore, this issue will be addressed as an add-on to study C1902. - ($140K)</w:t>
      </w:r>
    </w:p>
    <w:p w14:paraId="7FAB0D5C" w14:textId="06C2FEE1" w:rsidR="00197156" w:rsidRDefault="00197156" w:rsidP="00197156">
      <w:r w:rsidRPr="00155C43">
        <w:rPr>
          <w:b/>
          <w:bCs/>
        </w:rPr>
        <w:t>R1963c - Lighting Study - Sales or Shelf Stocking analysis</w:t>
      </w:r>
      <w:r>
        <w:t xml:space="preserve">: Lighting remains an important part of the programs, and a near-term continuation of tracking is needed to make sure expected progress remains in the sector.  If EISA is delayed, then a study of lighting sales will inform how much non-efficient lighting is still being sold. If EISA is implemented soon, then shelf stocking will help determine how long existing stock remains to be sold before store inventories are cleared of inefficient product. Study should address LI / </w:t>
      </w:r>
      <w:proofErr w:type="spellStart"/>
      <w:r>
        <w:t>HTR</w:t>
      </w:r>
      <w:proofErr w:type="spellEnd"/>
      <w:r>
        <w:t xml:space="preserve"> as appropriate.</w:t>
      </w:r>
      <w:r w:rsidR="002E4F50">
        <w:t xml:space="preserve"> </w:t>
      </w:r>
      <w:proofErr w:type="gramStart"/>
      <w:r w:rsidR="002E4F50">
        <w:t xml:space="preserve">- </w:t>
      </w:r>
      <w:r>
        <w:t xml:space="preserve"> (</w:t>
      </w:r>
      <w:proofErr w:type="gramEnd"/>
      <w:r>
        <w:t>$75K)</w:t>
      </w:r>
    </w:p>
    <w:p w14:paraId="602C8253" w14:textId="2D7B555D" w:rsidR="00197156" w:rsidRDefault="00197156" w:rsidP="00197156">
      <w:r w:rsidRPr="00155C43">
        <w:rPr>
          <w:b/>
          <w:bCs/>
        </w:rPr>
        <w:t>X1931 PSD - Integrated and Network Lighting controls</w:t>
      </w:r>
      <w:r>
        <w:t xml:space="preserve"> - Near-term / Quick impact factors for PSD: Current impact factors for C&amp;I lighting controls are uncertain and outdated, due to both the rapid evolution of controls technologies and the challenges EM&amp;V has historically faced in gaining access to participating sites early to conduct pre/post studies.  Lighting controls are anticipated to be a significant source of future savings, so the uncertainty poses risks and may be a disincentive to implementers vigorously pursuing this measure category.  This study will address these issues by updating impact factors for lighting controls.  The study will employ a two-step approach.  The first step will use literature review and potentially reanalysis of existing data to derive new impact factors as quickly as possible.  This 2021 work is a quick study.  The second step, to be initiated in 2022 (depending on outcomes of 1st phase) once business operations have moved back toward normalcy following the pandemic, will collect primary data using either a pre/post design or comparing controlled areas with similar uncontrolled areas.   - ($50K)</w:t>
      </w:r>
    </w:p>
    <w:p w14:paraId="26908664" w14:textId="46890575" w:rsidR="00197156" w:rsidRDefault="00197156" w:rsidP="00197156">
      <w:r w:rsidRPr="00155C43">
        <w:rPr>
          <w:b/>
          <w:bCs/>
        </w:rPr>
        <w:t>X1931 - New Measures / Smart thermostat for C&amp;I and small business applications</w:t>
      </w:r>
      <w:r>
        <w:t xml:space="preserve"> – Planned as near-term literature-based and adjusted for CT.  The current PSD section on commercial setback thermostats does not specifically address the additional features of Smart communicating thermostats.  A literature review of existing evaluation studies of commercial Smart thermostats will be conducted. The current commercial setback thermostat measure section of the PSD (section 3.2.5) will be revised and expanded to include a Smart Thermostat measure and incorporate results of the literature review.   - ($</w:t>
      </w:r>
      <w:r w:rsidR="002E4F50">
        <w:t>3</w:t>
      </w:r>
      <w:r>
        <w:t>0K)</w:t>
      </w:r>
    </w:p>
    <w:p w14:paraId="2265AFC2" w14:textId="77777777" w:rsidR="00197156" w:rsidRDefault="00197156" w:rsidP="00197156">
      <w:pPr>
        <w:rPr>
          <w:b/>
          <w:bCs/>
        </w:rPr>
      </w:pPr>
    </w:p>
    <w:p w14:paraId="7439BB7D" w14:textId="06E88C94" w:rsidR="00197156" w:rsidRPr="00B962C0" w:rsidRDefault="00197156" w:rsidP="00197156">
      <w:pPr>
        <w:rPr>
          <w:b/>
          <w:bCs/>
          <w:color w:val="2E74B5" w:themeColor="accent1" w:themeShade="BF"/>
        </w:rPr>
      </w:pPr>
      <w:r w:rsidRPr="00B962C0">
        <w:rPr>
          <w:b/>
          <w:bCs/>
          <w:color w:val="2E74B5" w:themeColor="accent1" w:themeShade="BF"/>
        </w:rPr>
        <w:t>New Project Concepts to be Issued as RFPs</w:t>
      </w:r>
    </w:p>
    <w:p w14:paraId="118074CF" w14:textId="55F35CBE" w:rsidR="00197156" w:rsidRDefault="00197156" w:rsidP="00197156">
      <w:r w:rsidRPr="00155C43">
        <w:rPr>
          <w:b/>
          <w:bCs/>
        </w:rPr>
        <w:t>R2120 - Implications of program incentive differences in appliance recycling programs</w:t>
      </w:r>
      <w:r>
        <w:t>: Piggy-back on work being conducted in MA to updates gross and net savings for recycled appliances, and apply survey responses from MA efforts to units recycled in CT.  Approach relies on UMP.  Note, additional data exists in NY and MA.  Trends in savings and NTG have been climbing.  If a more in-depth study were undertaken, it would include primary research in CT to update gross/net savings.  CT has not conducted research into savings from recycling programs.  MA is already tracking seasonality, usage, etc.   - ($35K)</w:t>
      </w:r>
    </w:p>
    <w:p w14:paraId="1A02460D" w14:textId="54F4AFF4" w:rsidR="00197156" w:rsidRDefault="00197156" w:rsidP="00197156">
      <w:r w:rsidRPr="00155C43">
        <w:rPr>
          <w:b/>
          <w:bCs/>
        </w:rPr>
        <w:t>R1968 - RNC Baseline and Code Compliance (Phase 1)</w:t>
      </w:r>
      <w:r>
        <w:t xml:space="preserve">: A RNC baseline study is typically done one year after a code change. This allows us to capture some homes built at the end of the old code and some at the beginning of the new code.  This type of study is becoming harder and more expensive to accomplish for a number of reasons: difficulty in unbiased recruitment of non-participant homes, difficulty in measuring energy efficiency differences after construction is completed, and difficulty in parsing out program and code effects. This design assumes set-up and initial phases in late 2021, with rest of project in 2022 Plan (with likely need for follow-on 2-3 years after roll-out).  Need up-front work in 2021 because potential contracting delays would hamper successful completion if not in operation beginning of year 2022.  Questions remaining about what direction program will take with respect to Passive House and Net-zero initiatives also will affect scope of study.  NOTE:  RNC Baseline and Potential study was included in </w:t>
      </w:r>
      <w:r w:rsidR="0054111E">
        <w:t>3-year</w:t>
      </w:r>
      <w:r>
        <w:t xml:space="preserve"> plan, deferred in 2020 update (R1968). Note, it is expected this project will issue an RFP for the combination of both phases to make it more attractive to bidders- ($75K for Phase 1, and the portion that affects 2019-21 Plan budget)</w:t>
      </w:r>
    </w:p>
    <w:p w14:paraId="64462EDF" w14:textId="4D6C11AF" w:rsidR="00197156" w:rsidRDefault="0AB18F95" w:rsidP="00197156">
      <w:r w:rsidRPr="0AB18F95">
        <w:rPr>
          <w:b/>
          <w:bCs/>
        </w:rPr>
        <w:t xml:space="preserve">R2015 - Low Load Residential New Construction:  </w:t>
      </w:r>
      <w:r>
        <w:t>Planned as literature and interview-based. The project will conduct a technical and cost effectiveness study of strategies to produce low energy consumption residential new construction, including the Passive House low energy construction standard, zero net energy standards and other programs that promote highly efficient low load buildings.  Energy savings, incremental construction costs, and customer acceptance will be examined for single family and multifamily new construction.  Beneficial electrification and integration with battery storage systems will be examined.  Barriers to adoption, such as contractor readiness, training needs, customer acceptance will be identified.  Study will include literature review of evaluations similar program offerings in other states, and interviews with IOU staff, contractors, design/build professionals and homeowners.   For the budget attached to this project, we do not expect it will be able to conduct more detailed tasks (e.g., engineering analysis including building simulation modeling to evaluate the technical potential of various low energy design approaches in CT buildings) but we are interested in information from the literature that will provide information / analysis of construction cost estimates of designs resulting from the strategies to assess cost effectiveness.  Adding the engineering activities would increase the budget to about $150K.  NOTE:  study was considered in 2020 Plan update but deferred to wait for MA results (study R2015, budgeted at $150K).  Note study does not include full-on potential study or simulations or associated cost-estimation work (that would cost about $150K). - ($65K)</w:t>
      </w:r>
    </w:p>
    <w:p w14:paraId="73810C28" w14:textId="4C4C7D9A" w:rsidR="00197156" w:rsidRDefault="00197156" w:rsidP="00197156">
      <w:r w:rsidRPr="00155C43">
        <w:rPr>
          <w:b/>
          <w:bCs/>
        </w:rPr>
        <w:t xml:space="preserve">C2117 - Persistence </w:t>
      </w:r>
      <w:r w:rsidR="002E4F50">
        <w:rPr>
          <w:b/>
          <w:bCs/>
        </w:rPr>
        <w:t>S</w:t>
      </w:r>
      <w:r w:rsidRPr="00155C43">
        <w:rPr>
          <w:b/>
          <w:bCs/>
        </w:rPr>
        <w:t xml:space="preserve">tudy for RCx </w:t>
      </w:r>
      <w:r w:rsidR="002E4F50">
        <w:rPr>
          <w:b/>
          <w:bCs/>
        </w:rPr>
        <w:t>–</w:t>
      </w:r>
      <w:r w:rsidRPr="00155C43">
        <w:rPr>
          <w:b/>
          <w:bCs/>
        </w:rPr>
        <w:t xml:space="preserve"> </w:t>
      </w:r>
      <w:r w:rsidR="002E4F50">
        <w:rPr>
          <w:b/>
          <w:bCs/>
        </w:rPr>
        <w:t>Literature-based Study</w:t>
      </w:r>
      <w:r>
        <w:t xml:space="preserve">: There is a need to understand the persistence of RCx measures. The last CT study was published in 2013 covering PY 2008-2010 and only covered persistence of treated air compressor leaks. This study will conduct a literature search, staff interviews, and program tracking analyses to 1) summarize findings by </w:t>
      </w:r>
      <w:r w:rsidR="0054111E">
        <w:t>measure from</w:t>
      </w:r>
      <w:r>
        <w:t xml:space="preserve"> other regional and national studies and 2) prioritize Energize CT RCx measures for an in-depth persistence evaluation.  - ($50K)</w:t>
      </w:r>
    </w:p>
    <w:p w14:paraId="38BC50FE" w14:textId="77777777" w:rsidR="00197156" w:rsidRDefault="00197156" w:rsidP="00197156">
      <w:r w:rsidRPr="00155C43">
        <w:rPr>
          <w:b/>
          <w:bCs/>
        </w:rPr>
        <w:t>C1940 - Emerging Issues and Joint State Projects 2021</w:t>
      </w:r>
      <w:r>
        <w:t>: Retain funds to ID best studies to join in MA / RI, etc. PLUS Retain funds and assign in 2021 for priority topic, or to respond to / support research related to DEEP Orders and conditions. - ($174K)</w:t>
      </w:r>
    </w:p>
    <w:p w14:paraId="2B85B6C6" w14:textId="34F8BDD3" w:rsidR="00197156" w:rsidRDefault="00197156" w:rsidP="00197156">
      <w:pPr>
        <w:rPr>
          <w:b/>
          <w:bCs/>
        </w:rPr>
      </w:pPr>
    </w:p>
    <w:p w14:paraId="4597101C" w14:textId="7D745F00" w:rsidR="00197156" w:rsidRPr="00B962C0" w:rsidRDefault="00197156" w:rsidP="00197156">
      <w:pPr>
        <w:rPr>
          <w:b/>
          <w:bCs/>
          <w:color w:val="2E74B5" w:themeColor="accent1" w:themeShade="BF"/>
        </w:rPr>
      </w:pPr>
      <w:r w:rsidRPr="00B962C0">
        <w:rPr>
          <w:b/>
          <w:bCs/>
          <w:color w:val="2E74B5" w:themeColor="accent1" w:themeShade="BF"/>
        </w:rPr>
        <w:t xml:space="preserve">Studies </w:t>
      </w:r>
      <w:r w:rsidR="00B962C0">
        <w:rPr>
          <w:b/>
          <w:bCs/>
          <w:color w:val="2E74B5" w:themeColor="accent1" w:themeShade="BF"/>
        </w:rPr>
        <w:t xml:space="preserve">Considered, but </w:t>
      </w:r>
      <w:r w:rsidRPr="00B962C0">
        <w:rPr>
          <w:b/>
          <w:bCs/>
          <w:color w:val="2E74B5" w:themeColor="accent1" w:themeShade="BF"/>
        </w:rPr>
        <w:t>not Recommended</w:t>
      </w:r>
      <w:r w:rsidR="00503A99">
        <w:rPr>
          <w:b/>
          <w:bCs/>
          <w:color w:val="2E74B5" w:themeColor="accent1" w:themeShade="BF"/>
        </w:rPr>
        <w:t xml:space="preserve"> for 2021</w:t>
      </w:r>
    </w:p>
    <w:p w14:paraId="60D8E2BB" w14:textId="1488629F" w:rsidR="00197156" w:rsidRDefault="00197156" w:rsidP="00197156">
      <w:r w:rsidRPr="00155C43">
        <w:rPr>
          <w:b/>
          <w:bCs/>
        </w:rPr>
        <w:t>C2119 - New measure - home automation</w:t>
      </w:r>
      <w:r>
        <w:t>: There was very limited discussion of this option outside the context of its influence on DR.  Home automation allows for greater DR participation, scheduling, geofencing, remote control when out of home.   - ($TBD)</w:t>
      </w:r>
    </w:p>
    <w:p w14:paraId="7B7F132C" w14:textId="77777777" w:rsidR="00197156" w:rsidRDefault="00197156" w:rsidP="00197156">
      <w:r w:rsidRPr="00155C43">
        <w:rPr>
          <w:b/>
          <w:bCs/>
        </w:rPr>
        <w:t>X2121 - Barriers to electrification</w:t>
      </w:r>
      <w:r>
        <w:t>: There is interest in electrification opportunities and options, and a focus on building decarbonization.  Expecting some direction from DEEP in about a year.  Study would assess what other states are doing in electrification, interview design/build community representatives to identify barriers and solutions to electrification. Interview SEMs to identify emerging electrification solutions.   Examine HP adoption (and barriers to adoption) in residential and commercial buildings, and examine HP soft costs. - ($100K)</w:t>
      </w:r>
    </w:p>
    <w:p w14:paraId="550F66C2" w14:textId="77777777" w:rsidR="00197156" w:rsidRDefault="00197156" w:rsidP="00197156">
      <w:r w:rsidRPr="00155C43">
        <w:rPr>
          <w:b/>
          <w:bCs/>
        </w:rPr>
        <w:t>C2122 - NTG studies for lost opportunity</w:t>
      </w:r>
      <w:r>
        <w:t xml:space="preserve"> (TLED, LED retro and new, networked lighting controls, CAC/HP rebates, gas furnaces and boilers NTG and ISP, and steam traps): The C1902 - ECB NTG and Baseline study is providing industry standard practice (ISP) baselines and net to gross ratios for a set of priority PSD Section 2 lost opportunity C&amp;I measures.  Depending on the results of the C1902 study, additional research may be needed to expand the measure coverage to include TLEDs, LED fixtures, network lighting controls, packaged rooftop AC and heat pumps, furnaces and boilers.  Separate values for true new construction and end of life replacements will be developed. - ($200K)</w:t>
      </w:r>
    </w:p>
    <w:p w14:paraId="4AE61058" w14:textId="77777777" w:rsidR="00197156" w:rsidRDefault="00197156" w:rsidP="00197156">
      <w:r w:rsidRPr="00155C43">
        <w:rPr>
          <w:b/>
          <w:bCs/>
        </w:rPr>
        <w:t>R2123 - Behavior Program Evaluation</w:t>
      </w:r>
      <w:r>
        <w:t>: Eversource is implementing program across NH, MA, and CT.  The study should cover savings, effectiveness compared to OPower, and customer impressions, including comparisons to OPower.  An evaluation is being planned in MA to be done by Guidehouse. The study may be CT-specific if previous program or new program differ between states; if not, finding a means of contributing to that study may be most efficient way to include CT.  NOTE this project was in 3-year Plan, as project R1969, and deferred in 2020 update because project was discontinued (budget was $65K) - ($35K)</w:t>
      </w:r>
    </w:p>
    <w:p w14:paraId="770DE113" w14:textId="40675F97" w:rsidR="00197156" w:rsidRDefault="00197156" w:rsidP="00197156">
      <w:r w:rsidRPr="00155C43">
        <w:rPr>
          <w:b/>
          <w:bCs/>
        </w:rPr>
        <w:t>C2124 - Persistence Study for SEM</w:t>
      </w:r>
      <w:r>
        <w:t xml:space="preserve">: Strategic Energy Management (SEM) programs involve industrial customers that implement a wide variety of energy management practices, including operational, behavioral and process improvement measures.  Energy savings for these measures are often derived from a whole facility billing analysis that does not provide measure specific savings estimates.  Recent studies of SEM engagements in the Pacific Northwest and elsewhere have provided new data on the persistence of energy savings resulting from SEM engagements.  A literature review of SEM program lifetimes will be conducted </w:t>
      </w:r>
      <w:r w:rsidR="0054111E">
        <w:t>and the</w:t>
      </w:r>
      <w:r>
        <w:t xml:space="preserve"> SEM program lifetime value in the PSD Appendix 4 Table A4.1 will be updated. - ($25K)</w:t>
      </w:r>
    </w:p>
    <w:p w14:paraId="6A807F53" w14:textId="74A1ADD9" w:rsidR="00197156" w:rsidRDefault="00197156" w:rsidP="00197156">
      <w:r w:rsidRPr="00155C43">
        <w:rPr>
          <w:b/>
          <w:bCs/>
        </w:rPr>
        <w:t>C2125 - C&amp;I Hours of Use - focus on standalone HVAC</w:t>
      </w:r>
      <w:r>
        <w:t xml:space="preserve">: ERS is conducting research under the current X1931 project to identify the source of the heating and cooling equivalent full load hour (EFLH) values in the PSD Appendix 5 Table A5.1 and recommend updates.  Depending on the results of that effort, a </w:t>
      </w:r>
      <w:r w:rsidR="0054111E">
        <w:t>large-scale</w:t>
      </w:r>
      <w:r>
        <w:t xml:space="preserve"> study of commercial building heating and cooling EFLHs may be required. The potential approaches for updating the heating and cooling EFLH data for CT may include the development of prototypical building simulation models to calculate the heating and cooling EFLHs, a billing analysis approach to identify heating and cooling end-use energy consumption combined with </w:t>
      </w:r>
      <w:r w:rsidR="0054111E">
        <w:t>an</w:t>
      </w:r>
      <w:r>
        <w:t xml:space="preserve"> on-site survey of HVAC system types and equipment capacities, or a sub-metered approach using data logging equipment to measure heating and cooling consumption on a sample of equipment and calculate EFLH from equipment consumption and capacity data.    - ($350K)</w:t>
      </w:r>
    </w:p>
    <w:p w14:paraId="5EA182DE" w14:textId="799744B5" w:rsidR="00197156" w:rsidRDefault="00197156" w:rsidP="00197156">
      <w:r w:rsidRPr="00155C43">
        <w:rPr>
          <w:b/>
          <w:bCs/>
        </w:rPr>
        <w:t>R2126 - HES follow-up on Air sealing, duct sealing, insulation practices</w:t>
      </w:r>
      <w:r>
        <w:t>: Use on-sites and in-person interviews with homeowners and HES vendors to assess HES work quality, particularly for air-sealing, duct sealing, and insulation.  Include walk-through with vendors to identify challenges faced on the job, and what the program could do to encourage deeper savings.  Include home-owner surveys to identify 2 perspectives of the home (customer experience vs. assessment by trained technician).  Includes primary data collection.  Should re-investigate any changes in previously-identified disconnect between HES vendor practices and state savings goals.   Identify degree to which savings are being left on the table.  Review vendor performance on observation, salesmanship, follow-up, non-physical barriers, and other topics.  Include return visits to homes to identify missed opportunities.  Consider pilot.  Include recommendations like revised incentives for stronger contractors or doing more. - ($TBD)</w:t>
      </w:r>
    </w:p>
    <w:p w14:paraId="7526782E" w14:textId="3B33BCBB" w:rsidR="00197156" w:rsidRDefault="00197156" w:rsidP="00197156">
      <w:r w:rsidRPr="00155C43">
        <w:rPr>
          <w:b/>
          <w:bCs/>
        </w:rPr>
        <w:t>X2127- Controls for electric and gas measures</w:t>
      </w:r>
      <w:r>
        <w:t>: As the Plan moves away from such high dependence on lighting, other measures, and "next" measures rise in importance.  Stakeholders are interested in review of control measures for electric and gas applications.  The discussion was wide-ranging, mentioning EMS, HVAC local controls / economizers (in commercial sector) or for residential Heat Pump controls and integrated controls.   - ($TBD)</w:t>
      </w:r>
    </w:p>
    <w:p w14:paraId="5FDD6E60" w14:textId="77777777" w:rsidR="00197156" w:rsidRDefault="0AB18F95" w:rsidP="00197156">
      <w:r w:rsidRPr="0AB18F95">
        <w:rPr>
          <w:b/>
          <w:bCs/>
        </w:rPr>
        <w:t>X2020 - New Measure - Advanced Power Strips</w:t>
      </w:r>
      <w:r>
        <w:t>: Review APS support in other states and develop recommendations on whether and how CT should support this technology.  Expect this project would primarily be a program review (including other states including NY, MA, RI, other), but should include staff interviews.  APS are key contributors to non-lighting savings in MA and RI and may be important in CT.  NOTE this project was included in 2020 update to 3-year plan as literature review, but deferred because manufactures were making studies difficult (was study X2006 and budgeted at $50K) - ($200K)</w:t>
      </w:r>
    </w:p>
    <w:p w14:paraId="4CE047D8" w14:textId="77777777" w:rsidR="00197156" w:rsidRDefault="00197156" w:rsidP="00197156">
      <w:r w:rsidRPr="00155C43">
        <w:rPr>
          <w:b/>
          <w:bCs/>
        </w:rPr>
        <w:t>X2129 - MF weatherization corridor CFM reduction factor, COPs, HOU, Weatherization</w:t>
      </w:r>
      <w:r>
        <w:t>: Significant measure in MF space, and study should, at a minimum, examine best practices in other states and develop recommendations and interviews with implementers on calculations.   Note, key elements on potential being studied in current project X1941; wait for those results. - ($300K)</w:t>
      </w:r>
    </w:p>
    <w:p w14:paraId="533103AE" w14:textId="4ADC17D7" w:rsidR="00197156" w:rsidRDefault="00197156" w:rsidP="00197156">
      <w:r w:rsidRPr="00155C43">
        <w:rPr>
          <w:b/>
          <w:bCs/>
        </w:rPr>
        <w:t>X2130 - Evaluation of non-energy goals</w:t>
      </w:r>
      <w:r>
        <w:t>: Provide policy and other support toward DEEP / State / Utility review of BC tests and possible integration of NEIs.  There is some interest, but current tests are very limited / restrictive toward NEIs.  Needs would be continually evolving. - ($TBD)</w:t>
      </w:r>
    </w:p>
    <w:p w14:paraId="1A671EBA" w14:textId="77777777" w:rsidR="00197156" w:rsidRDefault="00197156" w:rsidP="00197156">
      <w:r w:rsidRPr="00155C43">
        <w:rPr>
          <w:b/>
          <w:bCs/>
        </w:rPr>
        <w:t>R2131 - Residential Load Shapes</w:t>
      </w:r>
      <w:r>
        <w:t xml:space="preserve"> (becoming more important): Use model resources developed for MA and adjust to CT climate / latitude to update and improve loadshapes for CT.   - ($35K)</w:t>
      </w:r>
    </w:p>
    <w:p w14:paraId="01128A5C" w14:textId="0587BE3D" w:rsidR="00197156" w:rsidRDefault="00197156" w:rsidP="00197156">
      <w:r w:rsidRPr="00155C43">
        <w:rPr>
          <w:b/>
          <w:bCs/>
        </w:rPr>
        <w:t>C2132 - Commercial Load Shapes</w:t>
      </w:r>
      <w:r>
        <w:t xml:space="preserve"> (becoming more important): In phase 1 this study will identify end use categories with significant impact on electric peak loads. This work is being conducted in ERS / PSD project using MA modeling tool. If additional work is indicated, Phase 2 will collect interval data during peak periods for priority measures and develop load shapes, to be conducted later if / as needed, and after </w:t>
      </w:r>
      <w:r w:rsidR="00CC0666">
        <w:t>COVID-19</w:t>
      </w:r>
      <w:r>
        <w:t xml:space="preserve"> - separate project. - ($100K)</w:t>
      </w:r>
    </w:p>
    <w:p w14:paraId="3F529528" w14:textId="1A94126C" w:rsidR="00197156" w:rsidRDefault="00197156" w:rsidP="00197156">
      <w:r w:rsidRPr="00155C43">
        <w:rPr>
          <w:b/>
          <w:bCs/>
        </w:rPr>
        <w:t>C1920 - EO Impact Evaluation, Phase 1</w:t>
      </w:r>
      <w:r>
        <w:t xml:space="preserve">: </w:t>
      </w:r>
      <w:r w:rsidR="0054111E">
        <w:t>5-year</w:t>
      </w:r>
      <w:r>
        <w:t xml:space="preserve"> ISO says not yet needed.  This project is delayed because C1635 impact study just finished, and covered participants for 2016-17.  Was number C1920 and budgeted at $565. - ($565K)</w:t>
      </w:r>
    </w:p>
    <w:p w14:paraId="5E751AF9" w14:textId="10D9087A" w:rsidR="00073282" w:rsidRDefault="00197156" w:rsidP="00197156">
      <w:r w:rsidRPr="00155C43">
        <w:rPr>
          <w:b/>
          <w:bCs/>
        </w:rPr>
        <w:t>C1918 - SBEA Impact Evaluation</w:t>
      </w:r>
      <w:r>
        <w:t xml:space="preserve">: </w:t>
      </w:r>
      <w:r w:rsidR="0054111E">
        <w:t>5-year</w:t>
      </w:r>
      <w:r>
        <w:t xml:space="preserve"> ISO says not yet needed.  This project is delayed because C1639 SBEA impact was completed 5/18 covering 2013-2016.  Project was numbered C1918 and may be considered in 2021 update depending on other projects.  The </w:t>
      </w:r>
      <w:r w:rsidR="0054111E">
        <w:t>5-year</w:t>
      </w:r>
      <w:r>
        <w:t xml:space="preserve"> cycle is on the cusp.  Original plan budget was $375K - ($375K)</w:t>
      </w:r>
    </w:p>
    <w:p w14:paraId="3A19D9EA" w14:textId="3CE2D766" w:rsidR="000067B0" w:rsidRDefault="000067B0">
      <w:r>
        <w:br w:type="page"/>
      </w:r>
    </w:p>
    <w:p w14:paraId="331F5603" w14:textId="024B5735" w:rsidR="000067B0" w:rsidRPr="00155C43" w:rsidRDefault="000067B0" w:rsidP="00155C43">
      <w:pPr>
        <w:pStyle w:val="Heading1"/>
      </w:pPr>
      <w:bookmarkStart w:id="20" w:name="_Toc62551056"/>
      <w:r>
        <w:t xml:space="preserve">Appendix B –Disposition of 2019-2021 </w:t>
      </w:r>
      <w:r w:rsidR="00CC0666">
        <w:t>Evaluation</w:t>
      </w:r>
      <w:r>
        <w:t xml:space="preserve"> Plan Projects</w:t>
      </w:r>
      <w:bookmarkEnd w:id="20"/>
    </w:p>
    <w:p w14:paraId="26AE1759" w14:textId="626873E6" w:rsidR="000067B0" w:rsidRDefault="000067B0" w:rsidP="00155C43"/>
    <w:p w14:paraId="5C3334A4" w14:textId="1390DFAE" w:rsidR="001E23A8" w:rsidRDefault="001E23A8" w:rsidP="00155C43">
      <w:r>
        <w:t>The figures in this Appendix track the contracting year for the projects undertaken in the 2019-21 Plan, and identifies those projects included in the Original Adopted Three-Year Plan, and those added.</w:t>
      </w:r>
    </w:p>
    <w:p w14:paraId="192DCB0B" w14:textId="53315621" w:rsidR="00007F4D" w:rsidRDefault="00007F4D" w:rsidP="00007F4D">
      <w:pPr>
        <w:pStyle w:val="Heading3"/>
        <w:rPr>
          <w:rFonts w:asciiTheme="minorHAnsi" w:hAnsiTheme="minorHAnsi" w:cstheme="minorHAnsi"/>
          <w:b/>
          <w:bCs/>
          <w:sz w:val="22"/>
          <w:szCs w:val="22"/>
        </w:rPr>
      </w:pPr>
      <w:bookmarkStart w:id="21" w:name="_Toc62551057"/>
      <w:r w:rsidRPr="000D70AC">
        <w:rPr>
          <w:rFonts w:asciiTheme="minorHAnsi" w:hAnsiTheme="minorHAnsi" w:cstheme="minorHAnsi"/>
          <w:b/>
          <w:bCs/>
          <w:sz w:val="22"/>
          <w:szCs w:val="22"/>
        </w:rPr>
        <w:t xml:space="preserve">Figure </w:t>
      </w:r>
      <w:r>
        <w:rPr>
          <w:rFonts w:asciiTheme="minorHAnsi" w:hAnsiTheme="minorHAnsi" w:cstheme="minorHAnsi"/>
          <w:b/>
          <w:bCs/>
          <w:sz w:val="22"/>
          <w:szCs w:val="22"/>
        </w:rPr>
        <w:t>B</w:t>
      </w:r>
      <w:r w:rsidR="001E23A8">
        <w:rPr>
          <w:rFonts w:asciiTheme="minorHAnsi" w:hAnsiTheme="minorHAnsi" w:cstheme="minorHAnsi"/>
          <w:b/>
          <w:bCs/>
          <w:sz w:val="22"/>
          <w:szCs w:val="22"/>
        </w:rPr>
        <w:t>.</w:t>
      </w:r>
      <w:r w:rsidR="000067B0">
        <w:rPr>
          <w:rFonts w:asciiTheme="minorHAnsi" w:hAnsiTheme="minorHAnsi" w:cstheme="minorHAnsi"/>
          <w:b/>
          <w:bCs/>
          <w:sz w:val="22"/>
          <w:szCs w:val="22"/>
        </w:rPr>
        <w:t>1</w:t>
      </w:r>
      <w:r w:rsidRPr="000D70AC">
        <w:rPr>
          <w:rFonts w:asciiTheme="minorHAnsi" w:hAnsiTheme="minorHAnsi" w:cstheme="minorHAnsi"/>
          <w:b/>
          <w:bCs/>
          <w:sz w:val="22"/>
          <w:szCs w:val="22"/>
        </w:rPr>
        <w:t xml:space="preserve">: </w:t>
      </w:r>
      <w:r w:rsidR="001E23A8">
        <w:rPr>
          <w:rFonts w:asciiTheme="minorHAnsi" w:hAnsiTheme="minorHAnsi" w:cstheme="minorHAnsi"/>
          <w:b/>
          <w:bCs/>
          <w:sz w:val="22"/>
          <w:szCs w:val="22"/>
        </w:rPr>
        <w:t>List of 2019-2021 Plan Projects After 2021 Update, with Rationales</w:t>
      </w:r>
      <w:r w:rsidR="00436FBF">
        <w:rPr>
          <w:rFonts w:asciiTheme="minorHAnsi" w:hAnsiTheme="minorHAnsi" w:cstheme="minorHAnsi"/>
          <w:b/>
          <w:bCs/>
          <w:sz w:val="22"/>
          <w:szCs w:val="22"/>
        </w:rPr>
        <w:t xml:space="preserve">, </w:t>
      </w:r>
      <w:r w:rsidR="00503A99">
        <w:rPr>
          <w:rFonts w:asciiTheme="minorHAnsi" w:hAnsiTheme="minorHAnsi" w:cstheme="minorHAnsi"/>
          <w:b/>
          <w:bCs/>
          <w:sz w:val="22"/>
          <w:szCs w:val="22"/>
        </w:rPr>
        <w:t>P</w:t>
      </w:r>
      <w:r w:rsidR="00436FBF">
        <w:rPr>
          <w:rFonts w:asciiTheme="minorHAnsi" w:hAnsiTheme="minorHAnsi" w:cstheme="minorHAnsi"/>
          <w:b/>
          <w:bCs/>
          <w:sz w:val="22"/>
          <w:szCs w:val="22"/>
        </w:rPr>
        <w:t>art 1</w:t>
      </w:r>
      <w:bookmarkEnd w:id="21"/>
    </w:p>
    <w:p w14:paraId="26C212F8" w14:textId="1D10D6E3" w:rsidR="00B43018" w:rsidRPr="00B43018" w:rsidRDefault="00B43018" w:rsidP="00B43018">
      <w:r w:rsidRPr="00B43018">
        <w:rPr>
          <w:noProof/>
        </w:rPr>
        <w:drawing>
          <wp:inline distT="0" distB="0" distL="0" distR="0" wp14:anchorId="61A33358" wp14:editId="0F8B941E">
            <wp:extent cx="5857644" cy="634047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60469" cy="6343533"/>
                    </a:xfrm>
                    <a:prstGeom prst="rect">
                      <a:avLst/>
                    </a:prstGeom>
                    <a:noFill/>
                    <a:ln>
                      <a:noFill/>
                    </a:ln>
                  </pic:spPr>
                </pic:pic>
              </a:graphicData>
            </a:graphic>
          </wp:inline>
        </w:drawing>
      </w:r>
    </w:p>
    <w:p w14:paraId="7880DD87" w14:textId="78BDF58C" w:rsidR="001E23A8" w:rsidRDefault="001E23A8" w:rsidP="001E23A8"/>
    <w:p w14:paraId="082A37AC" w14:textId="77777777" w:rsidR="001E23A8" w:rsidRPr="001E23A8" w:rsidRDefault="001E23A8" w:rsidP="001E23A8"/>
    <w:p w14:paraId="1622F2D4" w14:textId="2A81F3F9" w:rsidR="002B3D63" w:rsidRDefault="002B3D63" w:rsidP="002B3D63">
      <w:pPr>
        <w:pStyle w:val="Heading3"/>
        <w:rPr>
          <w:rFonts w:asciiTheme="minorHAnsi" w:hAnsiTheme="minorHAnsi" w:cstheme="minorHAnsi"/>
          <w:b/>
          <w:bCs/>
          <w:sz w:val="22"/>
          <w:szCs w:val="22"/>
        </w:rPr>
      </w:pPr>
      <w:bookmarkStart w:id="22" w:name="_Toc62551058"/>
      <w:r w:rsidRPr="000D70AC">
        <w:rPr>
          <w:rFonts w:asciiTheme="minorHAnsi" w:hAnsiTheme="minorHAnsi" w:cstheme="minorHAnsi"/>
          <w:b/>
          <w:bCs/>
          <w:sz w:val="22"/>
          <w:szCs w:val="22"/>
        </w:rPr>
        <w:t xml:space="preserve">Figure </w:t>
      </w:r>
      <w:r>
        <w:rPr>
          <w:rFonts w:asciiTheme="minorHAnsi" w:hAnsiTheme="minorHAnsi" w:cstheme="minorHAnsi"/>
          <w:b/>
          <w:bCs/>
          <w:sz w:val="22"/>
          <w:szCs w:val="22"/>
        </w:rPr>
        <w:t>B</w:t>
      </w:r>
      <w:r w:rsidR="001E23A8">
        <w:rPr>
          <w:rFonts w:asciiTheme="minorHAnsi" w:hAnsiTheme="minorHAnsi" w:cstheme="minorHAnsi"/>
          <w:b/>
          <w:bCs/>
          <w:sz w:val="22"/>
          <w:szCs w:val="22"/>
        </w:rPr>
        <w:t>.</w:t>
      </w:r>
      <w:r w:rsidR="000067B0">
        <w:rPr>
          <w:rFonts w:asciiTheme="minorHAnsi" w:hAnsiTheme="minorHAnsi" w:cstheme="minorHAnsi"/>
          <w:b/>
          <w:bCs/>
          <w:sz w:val="22"/>
          <w:szCs w:val="22"/>
        </w:rPr>
        <w:t>1</w:t>
      </w:r>
      <w:r w:rsidRPr="000D70AC">
        <w:rPr>
          <w:rFonts w:asciiTheme="minorHAnsi" w:hAnsiTheme="minorHAnsi" w:cstheme="minorHAnsi"/>
          <w:b/>
          <w:bCs/>
          <w:sz w:val="22"/>
          <w:szCs w:val="22"/>
        </w:rPr>
        <w:t xml:space="preserve">: </w:t>
      </w:r>
      <w:r>
        <w:rPr>
          <w:rFonts w:asciiTheme="minorHAnsi" w:hAnsiTheme="minorHAnsi" w:cstheme="minorHAnsi"/>
          <w:b/>
          <w:bCs/>
          <w:sz w:val="22"/>
          <w:szCs w:val="22"/>
        </w:rPr>
        <w:t>List of 2019-2021 Plan Projects After 2021 Update</w:t>
      </w:r>
      <w:r w:rsidR="001E23A8">
        <w:rPr>
          <w:rFonts w:asciiTheme="minorHAnsi" w:hAnsiTheme="minorHAnsi" w:cstheme="minorHAnsi"/>
          <w:b/>
          <w:bCs/>
          <w:sz w:val="22"/>
          <w:szCs w:val="22"/>
        </w:rPr>
        <w:t xml:space="preserve">, </w:t>
      </w:r>
      <w:r>
        <w:rPr>
          <w:rFonts w:asciiTheme="minorHAnsi" w:hAnsiTheme="minorHAnsi" w:cstheme="minorHAnsi"/>
          <w:b/>
          <w:bCs/>
          <w:sz w:val="22"/>
          <w:szCs w:val="22"/>
        </w:rPr>
        <w:t>with Rationales</w:t>
      </w:r>
      <w:r w:rsidR="00436FBF">
        <w:rPr>
          <w:rFonts w:asciiTheme="minorHAnsi" w:hAnsiTheme="minorHAnsi" w:cstheme="minorHAnsi"/>
          <w:b/>
          <w:bCs/>
          <w:sz w:val="22"/>
          <w:szCs w:val="22"/>
        </w:rPr>
        <w:t>, Part 2</w:t>
      </w:r>
      <w:bookmarkEnd w:id="22"/>
    </w:p>
    <w:p w14:paraId="56795187" w14:textId="20893D03" w:rsidR="00B43018" w:rsidRDefault="00B43018" w:rsidP="00B43018">
      <w:r w:rsidRPr="00B43018">
        <w:rPr>
          <w:noProof/>
        </w:rPr>
        <w:drawing>
          <wp:inline distT="0" distB="0" distL="0" distR="0" wp14:anchorId="31DC402F" wp14:editId="611754F7">
            <wp:extent cx="6309360" cy="711771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309360" cy="7117715"/>
                    </a:xfrm>
                    <a:prstGeom prst="rect">
                      <a:avLst/>
                    </a:prstGeom>
                    <a:noFill/>
                    <a:ln>
                      <a:noFill/>
                    </a:ln>
                  </pic:spPr>
                </pic:pic>
              </a:graphicData>
            </a:graphic>
          </wp:inline>
        </w:drawing>
      </w:r>
    </w:p>
    <w:p w14:paraId="42E83BE8" w14:textId="77777777" w:rsidR="00B43018" w:rsidRPr="00B43018" w:rsidRDefault="00B43018" w:rsidP="00B43018"/>
    <w:p w14:paraId="52D02A44" w14:textId="572383BC" w:rsidR="002B3D63" w:rsidRDefault="002B3D63" w:rsidP="002B3D63"/>
    <w:p w14:paraId="0E82CE7F" w14:textId="761C449B" w:rsidR="002B3D63" w:rsidRDefault="002B3D63" w:rsidP="002B3D63"/>
    <w:p w14:paraId="6037E351" w14:textId="5B187B9B" w:rsidR="002B3D63" w:rsidRDefault="002B3D63" w:rsidP="002B3D63"/>
    <w:p w14:paraId="55CA67BC" w14:textId="0881B4BE" w:rsidR="002B3D63" w:rsidRDefault="002B3D63" w:rsidP="002B3D63">
      <w:pPr>
        <w:pStyle w:val="Heading3"/>
        <w:rPr>
          <w:rFonts w:asciiTheme="minorHAnsi" w:hAnsiTheme="minorHAnsi" w:cstheme="minorHAnsi"/>
          <w:b/>
          <w:bCs/>
          <w:sz w:val="22"/>
          <w:szCs w:val="22"/>
        </w:rPr>
      </w:pPr>
      <w:bookmarkStart w:id="23" w:name="_Toc62551059"/>
      <w:r w:rsidRPr="000D70AC">
        <w:rPr>
          <w:rFonts w:asciiTheme="minorHAnsi" w:hAnsiTheme="minorHAnsi" w:cstheme="minorHAnsi"/>
          <w:b/>
          <w:bCs/>
          <w:sz w:val="22"/>
          <w:szCs w:val="22"/>
        </w:rPr>
        <w:t xml:space="preserve">Figure </w:t>
      </w:r>
      <w:r>
        <w:rPr>
          <w:rFonts w:asciiTheme="minorHAnsi" w:hAnsiTheme="minorHAnsi" w:cstheme="minorHAnsi"/>
          <w:b/>
          <w:bCs/>
          <w:sz w:val="22"/>
          <w:szCs w:val="22"/>
        </w:rPr>
        <w:t>B</w:t>
      </w:r>
      <w:r w:rsidR="001E23A8">
        <w:rPr>
          <w:rFonts w:asciiTheme="minorHAnsi" w:hAnsiTheme="minorHAnsi" w:cstheme="minorHAnsi"/>
          <w:b/>
          <w:bCs/>
          <w:sz w:val="22"/>
          <w:szCs w:val="22"/>
        </w:rPr>
        <w:t>.</w:t>
      </w:r>
      <w:r w:rsidR="000067B0">
        <w:rPr>
          <w:rFonts w:asciiTheme="minorHAnsi" w:hAnsiTheme="minorHAnsi" w:cstheme="minorHAnsi"/>
          <w:b/>
          <w:bCs/>
          <w:sz w:val="22"/>
          <w:szCs w:val="22"/>
        </w:rPr>
        <w:t>1</w:t>
      </w:r>
      <w:r w:rsidRPr="000D70AC">
        <w:rPr>
          <w:rFonts w:asciiTheme="minorHAnsi" w:hAnsiTheme="minorHAnsi" w:cstheme="minorHAnsi"/>
          <w:b/>
          <w:bCs/>
          <w:sz w:val="22"/>
          <w:szCs w:val="22"/>
        </w:rPr>
        <w:t xml:space="preserve">: </w:t>
      </w:r>
      <w:r>
        <w:rPr>
          <w:rFonts w:asciiTheme="minorHAnsi" w:hAnsiTheme="minorHAnsi" w:cstheme="minorHAnsi"/>
          <w:b/>
          <w:bCs/>
          <w:sz w:val="22"/>
          <w:szCs w:val="22"/>
        </w:rPr>
        <w:t>List of 2019-2021 Plan Projects After 2021 Update</w:t>
      </w:r>
      <w:r w:rsidR="001E23A8">
        <w:rPr>
          <w:rFonts w:asciiTheme="minorHAnsi" w:hAnsiTheme="minorHAnsi" w:cstheme="minorHAnsi"/>
          <w:b/>
          <w:bCs/>
          <w:sz w:val="22"/>
          <w:szCs w:val="22"/>
        </w:rPr>
        <w:t xml:space="preserve">, </w:t>
      </w:r>
      <w:r>
        <w:rPr>
          <w:rFonts w:asciiTheme="minorHAnsi" w:hAnsiTheme="minorHAnsi" w:cstheme="minorHAnsi"/>
          <w:b/>
          <w:bCs/>
          <w:sz w:val="22"/>
          <w:szCs w:val="22"/>
        </w:rPr>
        <w:t>with Rationales</w:t>
      </w:r>
      <w:r w:rsidR="00436FBF">
        <w:rPr>
          <w:rFonts w:asciiTheme="minorHAnsi" w:hAnsiTheme="minorHAnsi" w:cstheme="minorHAnsi"/>
          <w:b/>
          <w:bCs/>
          <w:sz w:val="22"/>
          <w:szCs w:val="22"/>
        </w:rPr>
        <w:t>, Part 3</w:t>
      </w:r>
      <w:bookmarkEnd w:id="23"/>
    </w:p>
    <w:p w14:paraId="72FF90A5" w14:textId="4FCC251D" w:rsidR="00B43018" w:rsidRDefault="00B43018" w:rsidP="00B43018">
      <w:r w:rsidRPr="00B43018">
        <w:rPr>
          <w:noProof/>
        </w:rPr>
        <w:drawing>
          <wp:inline distT="0" distB="0" distL="0" distR="0" wp14:anchorId="69692AA1" wp14:editId="15C4D4FD">
            <wp:extent cx="6309360" cy="71875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09360" cy="7187565"/>
                    </a:xfrm>
                    <a:prstGeom prst="rect">
                      <a:avLst/>
                    </a:prstGeom>
                    <a:noFill/>
                    <a:ln>
                      <a:noFill/>
                    </a:ln>
                  </pic:spPr>
                </pic:pic>
              </a:graphicData>
            </a:graphic>
          </wp:inline>
        </w:drawing>
      </w:r>
    </w:p>
    <w:p w14:paraId="7A385527" w14:textId="77777777" w:rsidR="00B43018" w:rsidRPr="00B43018" w:rsidRDefault="00B43018" w:rsidP="00B43018"/>
    <w:p w14:paraId="7FBF54CC" w14:textId="3B2BA462" w:rsidR="002B3D63" w:rsidRDefault="002B3D63" w:rsidP="002B3D63"/>
    <w:p w14:paraId="50FA8464" w14:textId="144E1F77" w:rsidR="002B3D63" w:rsidRDefault="002B3D63" w:rsidP="002B3D63">
      <w:pPr>
        <w:pStyle w:val="Heading3"/>
        <w:rPr>
          <w:rFonts w:asciiTheme="minorHAnsi" w:hAnsiTheme="minorHAnsi" w:cstheme="minorHAnsi"/>
          <w:b/>
          <w:bCs/>
          <w:sz w:val="22"/>
          <w:szCs w:val="22"/>
        </w:rPr>
      </w:pPr>
      <w:bookmarkStart w:id="24" w:name="_Toc62551060"/>
      <w:r w:rsidRPr="000D70AC">
        <w:rPr>
          <w:rFonts w:asciiTheme="minorHAnsi" w:hAnsiTheme="minorHAnsi" w:cstheme="minorHAnsi"/>
          <w:b/>
          <w:bCs/>
          <w:sz w:val="22"/>
          <w:szCs w:val="22"/>
        </w:rPr>
        <w:t xml:space="preserve">Figure </w:t>
      </w:r>
      <w:r>
        <w:rPr>
          <w:rFonts w:asciiTheme="minorHAnsi" w:hAnsiTheme="minorHAnsi" w:cstheme="minorHAnsi"/>
          <w:b/>
          <w:bCs/>
          <w:sz w:val="22"/>
          <w:szCs w:val="22"/>
        </w:rPr>
        <w:t>B</w:t>
      </w:r>
      <w:r w:rsidR="001E23A8">
        <w:rPr>
          <w:rFonts w:asciiTheme="minorHAnsi" w:hAnsiTheme="minorHAnsi" w:cstheme="minorHAnsi"/>
          <w:b/>
          <w:bCs/>
          <w:sz w:val="22"/>
          <w:szCs w:val="22"/>
        </w:rPr>
        <w:t>.</w:t>
      </w:r>
      <w:r w:rsidR="000067B0">
        <w:rPr>
          <w:rFonts w:asciiTheme="minorHAnsi" w:hAnsiTheme="minorHAnsi" w:cstheme="minorHAnsi"/>
          <w:b/>
          <w:bCs/>
          <w:sz w:val="22"/>
          <w:szCs w:val="22"/>
        </w:rPr>
        <w:t>1</w:t>
      </w:r>
      <w:r w:rsidRPr="000D70AC">
        <w:rPr>
          <w:rFonts w:asciiTheme="minorHAnsi" w:hAnsiTheme="minorHAnsi" w:cstheme="minorHAnsi"/>
          <w:b/>
          <w:bCs/>
          <w:sz w:val="22"/>
          <w:szCs w:val="22"/>
        </w:rPr>
        <w:t xml:space="preserve">: </w:t>
      </w:r>
      <w:r>
        <w:rPr>
          <w:rFonts w:asciiTheme="minorHAnsi" w:hAnsiTheme="minorHAnsi" w:cstheme="minorHAnsi"/>
          <w:b/>
          <w:bCs/>
          <w:sz w:val="22"/>
          <w:szCs w:val="22"/>
        </w:rPr>
        <w:t>List of 2019-2021 Plan Projects After 2021 Update</w:t>
      </w:r>
      <w:r w:rsidR="001E23A8">
        <w:rPr>
          <w:rFonts w:asciiTheme="minorHAnsi" w:hAnsiTheme="minorHAnsi" w:cstheme="minorHAnsi"/>
          <w:b/>
          <w:bCs/>
          <w:sz w:val="22"/>
          <w:szCs w:val="22"/>
        </w:rPr>
        <w:t xml:space="preserve">, </w:t>
      </w:r>
      <w:r>
        <w:rPr>
          <w:rFonts w:asciiTheme="minorHAnsi" w:hAnsiTheme="minorHAnsi" w:cstheme="minorHAnsi"/>
          <w:b/>
          <w:bCs/>
          <w:sz w:val="22"/>
          <w:szCs w:val="22"/>
        </w:rPr>
        <w:t>with Rationales</w:t>
      </w:r>
      <w:r w:rsidR="00436FBF">
        <w:rPr>
          <w:rFonts w:asciiTheme="minorHAnsi" w:hAnsiTheme="minorHAnsi" w:cstheme="minorHAnsi"/>
          <w:b/>
          <w:bCs/>
          <w:sz w:val="22"/>
          <w:szCs w:val="22"/>
        </w:rPr>
        <w:t>, Part 4</w:t>
      </w:r>
      <w:bookmarkEnd w:id="24"/>
    </w:p>
    <w:p w14:paraId="24129403" w14:textId="2433374B" w:rsidR="00B43018" w:rsidRDefault="00B43018" w:rsidP="00B43018">
      <w:r w:rsidRPr="00B43018">
        <w:rPr>
          <w:noProof/>
        </w:rPr>
        <w:drawing>
          <wp:inline distT="0" distB="0" distL="0" distR="0" wp14:anchorId="67762D31" wp14:editId="1E2CAAD6">
            <wp:extent cx="5781754" cy="78867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82939" cy="7888316"/>
                    </a:xfrm>
                    <a:prstGeom prst="rect">
                      <a:avLst/>
                    </a:prstGeom>
                    <a:noFill/>
                    <a:ln>
                      <a:noFill/>
                    </a:ln>
                  </pic:spPr>
                </pic:pic>
              </a:graphicData>
            </a:graphic>
          </wp:inline>
        </w:drawing>
      </w:r>
    </w:p>
    <w:sectPr w:rsidR="00B43018" w:rsidSect="00155C43">
      <w:pgSz w:w="12240" w:h="15840"/>
      <w:pgMar w:top="1440" w:right="1152" w:bottom="1440"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9B3EC9" w14:textId="77777777" w:rsidR="00AA0AE2" w:rsidRDefault="00AA0AE2" w:rsidP="00555A7E">
      <w:pPr>
        <w:spacing w:after="0" w:line="240" w:lineRule="auto"/>
      </w:pPr>
      <w:r>
        <w:separator/>
      </w:r>
    </w:p>
  </w:endnote>
  <w:endnote w:type="continuationSeparator" w:id="0">
    <w:p w14:paraId="024001D6" w14:textId="77777777" w:rsidR="00AA0AE2" w:rsidRDefault="00AA0AE2" w:rsidP="00555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7030352"/>
      <w:docPartObj>
        <w:docPartGallery w:val="Page Numbers (Bottom of Page)"/>
        <w:docPartUnique/>
      </w:docPartObj>
    </w:sdtPr>
    <w:sdtEndPr>
      <w:rPr>
        <w:color w:val="7F7F7F" w:themeColor="background1" w:themeShade="7F"/>
        <w:spacing w:val="60"/>
      </w:rPr>
    </w:sdtEndPr>
    <w:sdtContent>
      <w:p w14:paraId="2DC68770" w14:textId="29A4EB4C" w:rsidR="00CC0666" w:rsidRDefault="00CC0666">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r w:rsidR="00503A99">
          <w:rPr>
            <w:color w:val="7F7F7F" w:themeColor="background1" w:themeShade="7F"/>
            <w:spacing w:val="60"/>
          </w:rPr>
          <w:t xml:space="preserve">                      2021 Update to Evaluation Plan</w:t>
        </w:r>
      </w:p>
    </w:sdtContent>
  </w:sdt>
  <w:p w14:paraId="0BF762CE" w14:textId="77777777" w:rsidR="00CC0666" w:rsidRPr="00E66E06" w:rsidRDefault="00CC0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E69D8" w14:textId="77777777" w:rsidR="00AA0AE2" w:rsidRDefault="00AA0AE2" w:rsidP="00555A7E">
      <w:pPr>
        <w:spacing w:after="0" w:line="240" w:lineRule="auto"/>
      </w:pPr>
      <w:r>
        <w:separator/>
      </w:r>
    </w:p>
  </w:footnote>
  <w:footnote w:type="continuationSeparator" w:id="0">
    <w:p w14:paraId="05EAB4AE" w14:textId="77777777" w:rsidR="00AA0AE2" w:rsidRDefault="00AA0AE2" w:rsidP="00555A7E">
      <w:pPr>
        <w:spacing w:after="0" w:line="240" w:lineRule="auto"/>
      </w:pPr>
      <w:r>
        <w:continuationSeparator/>
      </w:r>
    </w:p>
  </w:footnote>
  <w:footnote w:id="1">
    <w:p w14:paraId="6F2E3D43" w14:textId="7710B322" w:rsidR="00CC0666" w:rsidRPr="00155C43" w:rsidRDefault="00CC0666">
      <w:pPr>
        <w:pStyle w:val="FootnoteText"/>
        <w:rPr>
          <w:i/>
          <w:sz w:val="18"/>
          <w:szCs w:val="18"/>
        </w:rPr>
      </w:pPr>
      <w:r w:rsidRPr="00AE54E1">
        <w:rPr>
          <w:rStyle w:val="FootnoteReference"/>
          <w:sz w:val="18"/>
          <w:szCs w:val="18"/>
        </w:rPr>
        <w:footnoteRef/>
      </w:r>
      <w:r w:rsidRPr="00AE54E1">
        <w:rPr>
          <w:sz w:val="18"/>
          <w:szCs w:val="18"/>
        </w:rPr>
        <w:t xml:space="preserve"> </w:t>
      </w:r>
      <w:r w:rsidRPr="00AE54E1">
        <w:rPr>
          <w:i/>
          <w:sz w:val="18"/>
          <w:szCs w:val="18"/>
        </w:rPr>
        <w:t>This document focuses on the 2021 update; the initial development of the 3-year plan is provided in the document “2019-21 EEB Three Year Evaluation Budget and Plan – Adopted / Final”, dated 12/7/19 and updated in the March 2020 document ““2019-21 EEB Three Year Evaluation Budget and Plan – 2020 Update”.</w:t>
      </w:r>
    </w:p>
  </w:footnote>
  <w:footnote w:id="2">
    <w:p w14:paraId="720E0FB1" w14:textId="77777777" w:rsidR="00CC0666" w:rsidRPr="00F55BFC" w:rsidRDefault="00CC0666" w:rsidP="00BA120A">
      <w:pPr>
        <w:pStyle w:val="FootnoteText"/>
        <w:rPr>
          <w:i/>
          <w:iCs/>
        </w:rPr>
      </w:pPr>
      <w:r w:rsidRPr="00F55BFC">
        <w:rPr>
          <w:rStyle w:val="FootnoteReference"/>
          <w:i/>
          <w:iCs/>
        </w:rPr>
        <w:footnoteRef/>
      </w:r>
      <w:r w:rsidRPr="00F55BFC">
        <w:rPr>
          <w:i/>
          <w:iCs/>
        </w:rPr>
        <w:t xml:space="preserve"> including program savings, length of time since last evaluation, PSD / C&amp;LM input needs, costs, interstate project opportunities, and other factors.  </w:t>
      </w:r>
    </w:p>
  </w:footnote>
  <w:footnote w:id="3">
    <w:p w14:paraId="0E8250FB" w14:textId="77777777" w:rsidR="00CC0666" w:rsidRPr="00F55BFC" w:rsidRDefault="00CC0666" w:rsidP="00BA120A">
      <w:pPr>
        <w:pStyle w:val="FootnoteText"/>
        <w:rPr>
          <w:i/>
          <w:sz w:val="18"/>
          <w:szCs w:val="18"/>
        </w:rPr>
      </w:pPr>
      <w:r w:rsidRPr="00F55BFC">
        <w:rPr>
          <w:rStyle w:val="FootnoteReference"/>
          <w:i/>
          <w:sz w:val="18"/>
          <w:szCs w:val="18"/>
        </w:rPr>
        <w:footnoteRef/>
      </w:r>
      <w:r w:rsidRPr="00F55BFC">
        <w:rPr>
          <w:i/>
          <w:sz w:val="18"/>
          <w:szCs w:val="18"/>
        </w:rPr>
        <w:t xml:space="preserve"> Note that because of these contracting issues and the inefficiencies identified in contractor turnover, the 2022-24 RFP process will select Three-Year Area Wide contractors.  This is consistent with the newly-revised Roadmap.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E677F"/>
    <w:multiLevelType w:val="hybridMultilevel"/>
    <w:tmpl w:val="8C645D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605A8"/>
    <w:multiLevelType w:val="hybridMultilevel"/>
    <w:tmpl w:val="3C0E7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A075B"/>
    <w:multiLevelType w:val="hybridMultilevel"/>
    <w:tmpl w:val="CFD0D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8255C"/>
    <w:multiLevelType w:val="hybridMultilevel"/>
    <w:tmpl w:val="0576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8186B"/>
    <w:multiLevelType w:val="hybridMultilevel"/>
    <w:tmpl w:val="0FDE1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5455B1"/>
    <w:multiLevelType w:val="hybridMultilevel"/>
    <w:tmpl w:val="3D52F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F62A3"/>
    <w:multiLevelType w:val="hybridMultilevel"/>
    <w:tmpl w:val="CA12C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F40D3"/>
    <w:multiLevelType w:val="hybridMultilevel"/>
    <w:tmpl w:val="4D60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F0C16"/>
    <w:multiLevelType w:val="hybridMultilevel"/>
    <w:tmpl w:val="2B50FA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BD02D3"/>
    <w:multiLevelType w:val="hybridMultilevel"/>
    <w:tmpl w:val="07246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E46099"/>
    <w:multiLevelType w:val="hybridMultilevel"/>
    <w:tmpl w:val="2EFE2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C964CD"/>
    <w:multiLevelType w:val="hybridMultilevel"/>
    <w:tmpl w:val="B20AC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B2062"/>
    <w:multiLevelType w:val="hybridMultilevel"/>
    <w:tmpl w:val="2A8A54E4"/>
    <w:lvl w:ilvl="0" w:tplc="248EBAEC">
      <w:start w:val="1"/>
      <w:numFmt w:val="bullet"/>
      <w:lvlText w:val=""/>
      <w:lvlJc w:val="left"/>
      <w:pPr>
        <w:tabs>
          <w:tab w:val="num" w:pos="720"/>
        </w:tabs>
        <w:ind w:left="720" w:hanging="360"/>
      </w:pPr>
      <w:rPr>
        <w:rFonts w:ascii="Wingdings" w:hAnsi="Wingdings" w:hint="default"/>
      </w:rPr>
    </w:lvl>
    <w:lvl w:ilvl="1" w:tplc="638A351A">
      <w:start w:val="210"/>
      <w:numFmt w:val="bullet"/>
      <w:lvlText w:val=""/>
      <w:lvlJc w:val="left"/>
      <w:pPr>
        <w:tabs>
          <w:tab w:val="num" w:pos="1440"/>
        </w:tabs>
        <w:ind w:left="1440" w:hanging="360"/>
      </w:pPr>
      <w:rPr>
        <w:rFonts w:ascii="Wingdings" w:hAnsi="Wingdings" w:hint="default"/>
      </w:rPr>
    </w:lvl>
    <w:lvl w:ilvl="2" w:tplc="AD7E4A76" w:tentative="1">
      <w:start w:val="1"/>
      <w:numFmt w:val="bullet"/>
      <w:lvlText w:val=""/>
      <w:lvlJc w:val="left"/>
      <w:pPr>
        <w:tabs>
          <w:tab w:val="num" w:pos="2160"/>
        </w:tabs>
        <w:ind w:left="2160" w:hanging="360"/>
      </w:pPr>
      <w:rPr>
        <w:rFonts w:ascii="Wingdings" w:hAnsi="Wingdings" w:hint="default"/>
      </w:rPr>
    </w:lvl>
    <w:lvl w:ilvl="3" w:tplc="FB84AEE2" w:tentative="1">
      <w:start w:val="1"/>
      <w:numFmt w:val="bullet"/>
      <w:lvlText w:val=""/>
      <w:lvlJc w:val="left"/>
      <w:pPr>
        <w:tabs>
          <w:tab w:val="num" w:pos="2880"/>
        </w:tabs>
        <w:ind w:left="2880" w:hanging="360"/>
      </w:pPr>
      <w:rPr>
        <w:rFonts w:ascii="Wingdings" w:hAnsi="Wingdings" w:hint="default"/>
      </w:rPr>
    </w:lvl>
    <w:lvl w:ilvl="4" w:tplc="BF049D96" w:tentative="1">
      <w:start w:val="1"/>
      <w:numFmt w:val="bullet"/>
      <w:lvlText w:val=""/>
      <w:lvlJc w:val="left"/>
      <w:pPr>
        <w:tabs>
          <w:tab w:val="num" w:pos="3600"/>
        </w:tabs>
        <w:ind w:left="3600" w:hanging="360"/>
      </w:pPr>
      <w:rPr>
        <w:rFonts w:ascii="Wingdings" w:hAnsi="Wingdings" w:hint="default"/>
      </w:rPr>
    </w:lvl>
    <w:lvl w:ilvl="5" w:tplc="E9644C8E" w:tentative="1">
      <w:start w:val="1"/>
      <w:numFmt w:val="bullet"/>
      <w:lvlText w:val=""/>
      <w:lvlJc w:val="left"/>
      <w:pPr>
        <w:tabs>
          <w:tab w:val="num" w:pos="4320"/>
        </w:tabs>
        <w:ind w:left="4320" w:hanging="360"/>
      </w:pPr>
      <w:rPr>
        <w:rFonts w:ascii="Wingdings" w:hAnsi="Wingdings" w:hint="default"/>
      </w:rPr>
    </w:lvl>
    <w:lvl w:ilvl="6" w:tplc="46DA6A26" w:tentative="1">
      <w:start w:val="1"/>
      <w:numFmt w:val="bullet"/>
      <w:lvlText w:val=""/>
      <w:lvlJc w:val="left"/>
      <w:pPr>
        <w:tabs>
          <w:tab w:val="num" w:pos="5040"/>
        </w:tabs>
        <w:ind w:left="5040" w:hanging="360"/>
      </w:pPr>
      <w:rPr>
        <w:rFonts w:ascii="Wingdings" w:hAnsi="Wingdings" w:hint="default"/>
      </w:rPr>
    </w:lvl>
    <w:lvl w:ilvl="7" w:tplc="B8E82F92" w:tentative="1">
      <w:start w:val="1"/>
      <w:numFmt w:val="bullet"/>
      <w:lvlText w:val=""/>
      <w:lvlJc w:val="left"/>
      <w:pPr>
        <w:tabs>
          <w:tab w:val="num" w:pos="5760"/>
        </w:tabs>
        <w:ind w:left="5760" w:hanging="360"/>
      </w:pPr>
      <w:rPr>
        <w:rFonts w:ascii="Wingdings" w:hAnsi="Wingdings" w:hint="default"/>
      </w:rPr>
    </w:lvl>
    <w:lvl w:ilvl="8" w:tplc="77009E1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A00A67"/>
    <w:multiLevelType w:val="hybridMultilevel"/>
    <w:tmpl w:val="A3EE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17B9B"/>
    <w:multiLevelType w:val="hybridMultilevel"/>
    <w:tmpl w:val="7D60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A32685"/>
    <w:multiLevelType w:val="hybridMultilevel"/>
    <w:tmpl w:val="1F72B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CA4A2F"/>
    <w:multiLevelType w:val="hybridMultilevel"/>
    <w:tmpl w:val="4ED2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C755D7"/>
    <w:multiLevelType w:val="hybridMultilevel"/>
    <w:tmpl w:val="CC30F578"/>
    <w:lvl w:ilvl="0" w:tplc="B34019E0">
      <w:start w:val="1"/>
      <w:numFmt w:val="bullet"/>
      <w:lvlText w:val=""/>
      <w:lvlJc w:val="left"/>
      <w:pPr>
        <w:tabs>
          <w:tab w:val="num" w:pos="720"/>
        </w:tabs>
        <w:ind w:left="720" w:hanging="360"/>
      </w:pPr>
      <w:rPr>
        <w:rFonts w:ascii="Wingdings" w:hAnsi="Wingdings" w:hint="default"/>
      </w:rPr>
    </w:lvl>
    <w:lvl w:ilvl="1" w:tplc="F3326BFE">
      <w:start w:val="210"/>
      <w:numFmt w:val="bullet"/>
      <w:lvlText w:val=""/>
      <w:lvlJc w:val="left"/>
      <w:pPr>
        <w:tabs>
          <w:tab w:val="num" w:pos="1440"/>
        </w:tabs>
        <w:ind w:left="1440" w:hanging="360"/>
      </w:pPr>
      <w:rPr>
        <w:rFonts w:ascii="Wingdings" w:hAnsi="Wingdings" w:hint="default"/>
      </w:rPr>
    </w:lvl>
    <w:lvl w:ilvl="2" w:tplc="4C50239C" w:tentative="1">
      <w:start w:val="1"/>
      <w:numFmt w:val="bullet"/>
      <w:lvlText w:val=""/>
      <w:lvlJc w:val="left"/>
      <w:pPr>
        <w:tabs>
          <w:tab w:val="num" w:pos="2160"/>
        </w:tabs>
        <w:ind w:left="2160" w:hanging="360"/>
      </w:pPr>
      <w:rPr>
        <w:rFonts w:ascii="Wingdings" w:hAnsi="Wingdings" w:hint="default"/>
      </w:rPr>
    </w:lvl>
    <w:lvl w:ilvl="3" w:tplc="7BFE4EBA" w:tentative="1">
      <w:start w:val="1"/>
      <w:numFmt w:val="bullet"/>
      <w:lvlText w:val=""/>
      <w:lvlJc w:val="left"/>
      <w:pPr>
        <w:tabs>
          <w:tab w:val="num" w:pos="2880"/>
        </w:tabs>
        <w:ind w:left="2880" w:hanging="360"/>
      </w:pPr>
      <w:rPr>
        <w:rFonts w:ascii="Wingdings" w:hAnsi="Wingdings" w:hint="default"/>
      </w:rPr>
    </w:lvl>
    <w:lvl w:ilvl="4" w:tplc="9AD09DFE" w:tentative="1">
      <w:start w:val="1"/>
      <w:numFmt w:val="bullet"/>
      <w:lvlText w:val=""/>
      <w:lvlJc w:val="left"/>
      <w:pPr>
        <w:tabs>
          <w:tab w:val="num" w:pos="3600"/>
        </w:tabs>
        <w:ind w:left="3600" w:hanging="360"/>
      </w:pPr>
      <w:rPr>
        <w:rFonts w:ascii="Wingdings" w:hAnsi="Wingdings" w:hint="default"/>
      </w:rPr>
    </w:lvl>
    <w:lvl w:ilvl="5" w:tplc="9EC69B0E" w:tentative="1">
      <w:start w:val="1"/>
      <w:numFmt w:val="bullet"/>
      <w:lvlText w:val=""/>
      <w:lvlJc w:val="left"/>
      <w:pPr>
        <w:tabs>
          <w:tab w:val="num" w:pos="4320"/>
        </w:tabs>
        <w:ind w:left="4320" w:hanging="360"/>
      </w:pPr>
      <w:rPr>
        <w:rFonts w:ascii="Wingdings" w:hAnsi="Wingdings" w:hint="default"/>
      </w:rPr>
    </w:lvl>
    <w:lvl w:ilvl="6" w:tplc="E76EE504" w:tentative="1">
      <w:start w:val="1"/>
      <w:numFmt w:val="bullet"/>
      <w:lvlText w:val=""/>
      <w:lvlJc w:val="left"/>
      <w:pPr>
        <w:tabs>
          <w:tab w:val="num" w:pos="5040"/>
        </w:tabs>
        <w:ind w:left="5040" w:hanging="360"/>
      </w:pPr>
      <w:rPr>
        <w:rFonts w:ascii="Wingdings" w:hAnsi="Wingdings" w:hint="default"/>
      </w:rPr>
    </w:lvl>
    <w:lvl w:ilvl="7" w:tplc="5030D9B2" w:tentative="1">
      <w:start w:val="1"/>
      <w:numFmt w:val="bullet"/>
      <w:lvlText w:val=""/>
      <w:lvlJc w:val="left"/>
      <w:pPr>
        <w:tabs>
          <w:tab w:val="num" w:pos="5760"/>
        </w:tabs>
        <w:ind w:left="5760" w:hanging="360"/>
      </w:pPr>
      <w:rPr>
        <w:rFonts w:ascii="Wingdings" w:hAnsi="Wingdings" w:hint="default"/>
      </w:rPr>
    </w:lvl>
    <w:lvl w:ilvl="8" w:tplc="1E2A865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217814"/>
    <w:multiLevelType w:val="hybridMultilevel"/>
    <w:tmpl w:val="C01EF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530AB"/>
    <w:multiLevelType w:val="hybridMultilevel"/>
    <w:tmpl w:val="8EC8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B15E1F"/>
    <w:multiLevelType w:val="hybridMultilevel"/>
    <w:tmpl w:val="2A8A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5C1586"/>
    <w:multiLevelType w:val="hybridMultilevel"/>
    <w:tmpl w:val="E4B47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CC012E"/>
    <w:multiLevelType w:val="hybridMultilevel"/>
    <w:tmpl w:val="FF6EB4C8"/>
    <w:lvl w:ilvl="0" w:tplc="F2EA8F18">
      <w:start w:val="1"/>
      <w:numFmt w:val="bullet"/>
      <w:lvlText w:val=""/>
      <w:lvlJc w:val="left"/>
      <w:pPr>
        <w:tabs>
          <w:tab w:val="num" w:pos="720"/>
        </w:tabs>
        <w:ind w:left="720" w:hanging="360"/>
      </w:pPr>
      <w:rPr>
        <w:rFonts w:ascii="Wingdings" w:hAnsi="Wingdings" w:hint="default"/>
      </w:rPr>
    </w:lvl>
    <w:lvl w:ilvl="1" w:tplc="30EC2B62">
      <w:start w:val="210"/>
      <w:numFmt w:val="bullet"/>
      <w:lvlText w:val=""/>
      <w:lvlJc w:val="left"/>
      <w:pPr>
        <w:tabs>
          <w:tab w:val="num" w:pos="1440"/>
        </w:tabs>
        <w:ind w:left="1440" w:hanging="360"/>
      </w:pPr>
      <w:rPr>
        <w:rFonts w:ascii="Wingdings" w:hAnsi="Wingdings" w:hint="default"/>
      </w:rPr>
    </w:lvl>
    <w:lvl w:ilvl="2" w:tplc="9F142AB6">
      <w:start w:val="210"/>
      <w:numFmt w:val="bullet"/>
      <w:lvlText w:val=""/>
      <w:lvlJc w:val="left"/>
      <w:pPr>
        <w:tabs>
          <w:tab w:val="num" w:pos="2160"/>
        </w:tabs>
        <w:ind w:left="2160" w:hanging="360"/>
      </w:pPr>
      <w:rPr>
        <w:rFonts w:ascii="Wingdings" w:hAnsi="Wingdings" w:hint="default"/>
      </w:rPr>
    </w:lvl>
    <w:lvl w:ilvl="3" w:tplc="D2F0D3F2" w:tentative="1">
      <w:start w:val="1"/>
      <w:numFmt w:val="bullet"/>
      <w:lvlText w:val=""/>
      <w:lvlJc w:val="left"/>
      <w:pPr>
        <w:tabs>
          <w:tab w:val="num" w:pos="2880"/>
        </w:tabs>
        <w:ind w:left="2880" w:hanging="360"/>
      </w:pPr>
      <w:rPr>
        <w:rFonts w:ascii="Wingdings" w:hAnsi="Wingdings" w:hint="default"/>
      </w:rPr>
    </w:lvl>
    <w:lvl w:ilvl="4" w:tplc="A29265AA" w:tentative="1">
      <w:start w:val="1"/>
      <w:numFmt w:val="bullet"/>
      <w:lvlText w:val=""/>
      <w:lvlJc w:val="left"/>
      <w:pPr>
        <w:tabs>
          <w:tab w:val="num" w:pos="3600"/>
        </w:tabs>
        <w:ind w:left="3600" w:hanging="360"/>
      </w:pPr>
      <w:rPr>
        <w:rFonts w:ascii="Wingdings" w:hAnsi="Wingdings" w:hint="default"/>
      </w:rPr>
    </w:lvl>
    <w:lvl w:ilvl="5" w:tplc="B2447EFE" w:tentative="1">
      <w:start w:val="1"/>
      <w:numFmt w:val="bullet"/>
      <w:lvlText w:val=""/>
      <w:lvlJc w:val="left"/>
      <w:pPr>
        <w:tabs>
          <w:tab w:val="num" w:pos="4320"/>
        </w:tabs>
        <w:ind w:left="4320" w:hanging="360"/>
      </w:pPr>
      <w:rPr>
        <w:rFonts w:ascii="Wingdings" w:hAnsi="Wingdings" w:hint="default"/>
      </w:rPr>
    </w:lvl>
    <w:lvl w:ilvl="6" w:tplc="6D42E2AC" w:tentative="1">
      <w:start w:val="1"/>
      <w:numFmt w:val="bullet"/>
      <w:lvlText w:val=""/>
      <w:lvlJc w:val="left"/>
      <w:pPr>
        <w:tabs>
          <w:tab w:val="num" w:pos="5040"/>
        </w:tabs>
        <w:ind w:left="5040" w:hanging="360"/>
      </w:pPr>
      <w:rPr>
        <w:rFonts w:ascii="Wingdings" w:hAnsi="Wingdings" w:hint="default"/>
      </w:rPr>
    </w:lvl>
    <w:lvl w:ilvl="7" w:tplc="7480DDE2" w:tentative="1">
      <w:start w:val="1"/>
      <w:numFmt w:val="bullet"/>
      <w:lvlText w:val=""/>
      <w:lvlJc w:val="left"/>
      <w:pPr>
        <w:tabs>
          <w:tab w:val="num" w:pos="5760"/>
        </w:tabs>
        <w:ind w:left="5760" w:hanging="360"/>
      </w:pPr>
      <w:rPr>
        <w:rFonts w:ascii="Wingdings" w:hAnsi="Wingdings" w:hint="default"/>
      </w:rPr>
    </w:lvl>
    <w:lvl w:ilvl="8" w:tplc="AA4CA1C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AF4E47"/>
    <w:multiLevelType w:val="hybridMultilevel"/>
    <w:tmpl w:val="A4D64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9"/>
  </w:num>
  <w:num w:numId="3">
    <w:abstractNumId w:val="8"/>
  </w:num>
  <w:num w:numId="4">
    <w:abstractNumId w:val="22"/>
  </w:num>
  <w:num w:numId="5">
    <w:abstractNumId w:val="17"/>
  </w:num>
  <w:num w:numId="6">
    <w:abstractNumId w:val="12"/>
  </w:num>
  <w:num w:numId="7">
    <w:abstractNumId w:val="18"/>
  </w:num>
  <w:num w:numId="8">
    <w:abstractNumId w:val="1"/>
  </w:num>
  <w:num w:numId="9">
    <w:abstractNumId w:val="15"/>
  </w:num>
  <w:num w:numId="10">
    <w:abstractNumId w:val="5"/>
  </w:num>
  <w:num w:numId="11">
    <w:abstractNumId w:val="9"/>
  </w:num>
  <w:num w:numId="12">
    <w:abstractNumId w:val="20"/>
  </w:num>
  <w:num w:numId="13">
    <w:abstractNumId w:val="7"/>
  </w:num>
  <w:num w:numId="14">
    <w:abstractNumId w:val="2"/>
  </w:num>
  <w:num w:numId="15">
    <w:abstractNumId w:val="16"/>
  </w:num>
  <w:num w:numId="16">
    <w:abstractNumId w:val="23"/>
  </w:num>
  <w:num w:numId="17">
    <w:abstractNumId w:val="13"/>
  </w:num>
  <w:num w:numId="18">
    <w:abstractNumId w:val="14"/>
  </w:num>
  <w:num w:numId="19">
    <w:abstractNumId w:val="11"/>
  </w:num>
  <w:num w:numId="20">
    <w:abstractNumId w:val="6"/>
  </w:num>
  <w:num w:numId="21">
    <w:abstractNumId w:val="10"/>
  </w:num>
  <w:num w:numId="22">
    <w:abstractNumId w:val="21"/>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11"/>
    <w:rsid w:val="00000E68"/>
    <w:rsid w:val="000016D3"/>
    <w:rsid w:val="00001AB1"/>
    <w:rsid w:val="0000627E"/>
    <w:rsid w:val="000067B0"/>
    <w:rsid w:val="0000742F"/>
    <w:rsid w:val="00007F4D"/>
    <w:rsid w:val="00010AA1"/>
    <w:rsid w:val="00010F86"/>
    <w:rsid w:val="000138A3"/>
    <w:rsid w:val="0001398A"/>
    <w:rsid w:val="00013FAB"/>
    <w:rsid w:val="00016863"/>
    <w:rsid w:val="000172C5"/>
    <w:rsid w:val="000210CD"/>
    <w:rsid w:val="00023E86"/>
    <w:rsid w:val="000269B5"/>
    <w:rsid w:val="00026CD7"/>
    <w:rsid w:val="0002781A"/>
    <w:rsid w:val="00027D42"/>
    <w:rsid w:val="000304EE"/>
    <w:rsid w:val="00031B23"/>
    <w:rsid w:val="00034B06"/>
    <w:rsid w:val="00044B58"/>
    <w:rsid w:val="00046BDB"/>
    <w:rsid w:val="0005038E"/>
    <w:rsid w:val="0005206B"/>
    <w:rsid w:val="00053CEB"/>
    <w:rsid w:val="00055D34"/>
    <w:rsid w:val="00060491"/>
    <w:rsid w:val="000636BF"/>
    <w:rsid w:val="00063782"/>
    <w:rsid w:val="00063D0B"/>
    <w:rsid w:val="00065A8F"/>
    <w:rsid w:val="00065D57"/>
    <w:rsid w:val="000665CA"/>
    <w:rsid w:val="000669FC"/>
    <w:rsid w:val="00067C68"/>
    <w:rsid w:val="0007135B"/>
    <w:rsid w:val="00073282"/>
    <w:rsid w:val="0007364F"/>
    <w:rsid w:val="0008174D"/>
    <w:rsid w:val="00083112"/>
    <w:rsid w:val="0008408B"/>
    <w:rsid w:val="00084200"/>
    <w:rsid w:val="0008525B"/>
    <w:rsid w:val="00086055"/>
    <w:rsid w:val="00087D32"/>
    <w:rsid w:val="000912C9"/>
    <w:rsid w:val="00093D99"/>
    <w:rsid w:val="000958BD"/>
    <w:rsid w:val="000A05FF"/>
    <w:rsid w:val="000A2B5E"/>
    <w:rsid w:val="000A2FB9"/>
    <w:rsid w:val="000A3E0E"/>
    <w:rsid w:val="000A456D"/>
    <w:rsid w:val="000A5BDC"/>
    <w:rsid w:val="000A6C1D"/>
    <w:rsid w:val="000A7D8E"/>
    <w:rsid w:val="000B30F5"/>
    <w:rsid w:val="000B3AC7"/>
    <w:rsid w:val="000B5934"/>
    <w:rsid w:val="000B6756"/>
    <w:rsid w:val="000C2202"/>
    <w:rsid w:val="000C44F3"/>
    <w:rsid w:val="000C6395"/>
    <w:rsid w:val="000D08C0"/>
    <w:rsid w:val="000D30C1"/>
    <w:rsid w:val="000D4B49"/>
    <w:rsid w:val="000D5243"/>
    <w:rsid w:val="000D6028"/>
    <w:rsid w:val="000D70AC"/>
    <w:rsid w:val="000D71C9"/>
    <w:rsid w:val="000D7BA7"/>
    <w:rsid w:val="000E108C"/>
    <w:rsid w:val="000E2805"/>
    <w:rsid w:val="000E415F"/>
    <w:rsid w:val="000E452D"/>
    <w:rsid w:val="000E4F66"/>
    <w:rsid w:val="000E5E06"/>
    <w:rsid w:val="000E691B"/>
    <w:rsid w:val="000F6B58"/>
    <w:rsid w:val="000F7AF6"/>
    <w:rsid w:val="00103E96"/>
    <w:rsid w:val="00104A55"/>
    <w:rsid w:val="0010564B"/>
    <w:rsid w:val="00106069"/>
    <w:rsid w:val="0011109D"/>
    <w:rsid w:val="00111BDD"/>
    <w:rsid w:val="001133EE"/>
    <w:rsid w:val="00114A5B"/>
    <w:rsid w:val="00115002"/>
    <w:rsid w:val="00117C3F"/>
    <w:rsid w:val="001242AA"/>
    <w:rsid w:val="001252F0"/>
    <w:rsid w:val="00125D83"/>
    <w:rsid w:val="001272A7"/>
    <w:rsid w:val="001272CF"/>
    <w:rsid w:val="00127458"/>
    <w:rsid w:val="001314A6"/>
    <w:rsid w:val="00131B1F"/>
    <w:rsid w:val="001321D6"/>
    <w:rsid w:val="00132E95"/>
    <w:rsid w:val="00132F1D"/>
    <w:rsid w:val="00133B06"/>
    <w:rsid w:val="00140CB5"/>
    <w:rsid w:val="00143437"/>
    <w:rsid w:val="0014396A"/>
    <w:rsid w:val="00152499"/>
    <w:rsid w:val="00154235"/>
    <w:rsid w:val="0015517C"/>
    <w:rsid w:val="00155C43"/>
    <w:rsid w:val="00157BE0"/>
    <w:rsid w:val="001635AC"/>
    <w:rsid w:val="00165C68"/>
    <w:rsid w:val="00167877"/>
    <w:rsid w:val="0016790A"/>
    <w:rsid w:val="00173E74"/>
    <w:rsid w:val="00173F24"/>
    <w:rsid w:val="00176B24"/>
    <w:rsid w:val="00184855"/>
    <w:rsid w:val="00185323"/>
    <w:rsid w:val="001903C3"/>
    <w:rsid w:val="0019178F"/>
    <w:rsid w:val="00193645"/>
    <w:rsid w:val="00194173"/>
    <w:rsid w:val="00197156"/>
    <w:rsid w:val="001A34BE"/>
    <w:rsid w:val="001A420C"/>
    <w:rsid w:val="001A49F4"/>
    <w:rsid w:val="001A75F6"/>
    <w:rsid w:val="001B060C"/>
    <w:rsid w:val="001C1DA8"/>
    <w:rsid w:val="001C5E63"/>
    <w:rsid w:val="001C73CB"/>
    <w:rsid w:val="001D4C0D"/>
    <w:rsid w:val="001D5FE3"/>
    <w:rsid w:val="001E23A8"/>
    <w:rsid w:val="001E4783"/>
    <w:rsid w:val="001E5C4E"/>
    <w:rsid w:val="001E5D63"/>
    <w:rsid w:val="001F1786"/>
    <w:rsid w:val="001F3D49"/>
    <w:rsid w:val="001F6D48"/>
    <w:rsid w:val="0020275B"/>
    <w:rsid w:val="00203AA7"/>
    <w:rsid w:val="00203EB2"/>
    <w:rsid w:val="0020502C"/>
    <w:rsid w:val="002078C7"/>
    <w:rsid w:val="002142DB"/>
    <w:rsid w:val="00214EFD"/>
    <w:rsid w:val="0022055F"/>
    <w:rsid w:val="00221F97"/>
    <w:rsid w:val="002269F9"/>
    <w:rsid w:val="00227873"/>
    <w:rsid w:val="00230CDE"/>
    <w:rsid w:val="00232007"/>
    <w:rsid w:val="00232CF6"/>
    <w:rsid w:val="0023352B"/>
    <w:rsid w:val="00235FBD"/>
    <w:rsid w:val="0024053B"/>
    <w:rsid w:val="00244996"/>
    <w:rsid w:val="00246491"/>
    <w:rsid w:val="00251A5E"/>
    <w:rsid w:val="00253CBB"/>
    <w:rsid w:val="00262A2E"/>
    <w:rsid w:val="002659E1"/>
    <w:rsid w:val="00265E53"/>
    <w:rsid w:val="00270EC8"/>
    <w:rsid w:val="002770A7"/>
    <w:rsid w:val="002773A8"/>
    <w:rsid w:val="00277A86"/>
    <w:rsid w:val="00277FA3"/>
    <w:rsid w:val="002821F4"/>
    <w:rsid w:val="00282C93"/>
    <w:rsid w:val="0028412E"/>
    <w:rsid w:val="0028447D"/>
    <w:rsid w:val="002856ED"/>
    <w:rsid w:val="00293BA0"/>
    <w:rsid w:val="002949AD"/>
    <w:rsid w:val="00294E81"/>
    <w:rsid w:val="002A6081"/>
    <w:rsid w:val="002B074E"/>
    <w:rsid w:val="002B3D63"/>
    <w:rsid w:val="002B4930"/>
    <w:rsid w:val="002B4CC0"/>
    <w:rsid w:val="002B6526"/>
    <w:rsid w:val="002C33FE"/>
    <w:rsid w:val="002C570A"/>
    <w:rsid w:val="002C5D43"/>
    <w:rsid w:val="002C5FDA"/>
    <w:rsid w:val="002C7D41"/>
    <w:rsid w:val="002C7EA7"/>
    <w:rsid w:val="002D1987"/>
    <w:rsid w:val="002D3FEA"/>
    <w:rsid w:val="002D49B8"/>
    <w:rsid w:val="002D5222"/>
    <w:rsid w:val="002E13CA"/>
    <w:rsid w:val="002E24B9"/>
    <w:rsid w:val="002E4F50"/>
    <w:rsid w:val="002F22F8"/>
    <w:rsid w:val="002F3EC1"/>
    <w:rsid w:val="002F4122"/>
    <w:rsid w:val="002F53AA"/>
    <w:rsid w:val="002F6022"/>
    <w:rsid w:val="0030406B"/>
    <w:rsid w:val="00304723"/>
    <w:rsid w:val="00304FDF"/>
    <w:rsid w:val="0030569C"/>
    <w:rsid w:val="00306225"/>
    <w:rsid w:val="00306DB7"/>
    <w:rsid w:val="00310094"/>
    <w:rsid w:val="00311910"/>
    <w:rsid w:val="003128E4"/>
    <w:rsid w:val="00317C32"/>
    <w:rsid w:val="003222BC"/>
    <w:rsid w:val="00323BA2"/>
    <w:rsid w:val="0032705C"/>
    <w:rsid w:val="00327A2F"/>
    <w:rsid w:val="003302A3"/>
    <w:rsid w:val="003312F1"/>
    <w:rsid w:val="00332D97"/>
    <w:rsid w:val="00337DE4"/>
    <w:rsid w:val="003427AD"/>
    <w:rsid w:val="00352C90"/>
    <w:rsid w:val="00361424"/>
    <w:rsid w:val="00361498"/>
    <w:rsid w:val="00362360"/>
    <w:rsid w:val="00363F88"/>
    <w:rsid w:val="00372014"/>
    <w:rsid w:val="003753D2"/>
    <w:rsid w:val="003806C8"/>
    <w:rsid w:val="0038089F"/>
    <w:rsid w:val="00383368"/>
    <w:rsid w:val="003836A7"/>
    <w:rsid w:val="00384890"/>
    <w:rsid w:val="00387EFF"/>
    <w:rsid w:val="00387FCF"/>
    <w:rsid w:val="00390754"/>
    <w:rsid w:val="00390D55"/>
    <w:rsid w:val="00390F8D"/>
    <w:rsid w:val="00391191"/>
    <w:rsid w:val="003917C2"/>
    <w:rsid w:val="00392D2E"/>
    <w:rsid w:val="00394571"/>
    <w:rsid w:val="00396246"/>
    <w:rsid w:val="0039636C"/>
    <w:rsid w:val="00397AED"/>
    <w:rsid w:val="003A11D1"/>
    <w:rsid w:val="003A6918"/>
    <w:rsid w:val="003B0BFD"/>
    <w:rsid w:val="003B1A90"/>
    <w:rsid w:val="003B1FBF"/>
    <w:rsid w:val="003B41FE"/>
    <w:rsid w:val="003C062D"/>
    <w:rsid w:val="003C58FB"/>
    <w:rsid w:val="003C6D3D"/>
    <w:rsid w:val="003D0291"/>
    <w:rsid w:val="003D1DAD"/>
    <w:rsid w:val="003D6146"/>
    <w:rsid w:val="003D7772"/>
    <w:rsid w:val="003E233B"/>
    <w:rsid w:val="003E2AD2"/>
    <w:rsid w:val="003E35ED"/>
    <w:rsid w:val="003E4FFA"/>
    <w:rsid w:val="003E749D"/>
    <w:rsid w:val="003E778B"/>
    <w:rsid w:val="003E7989"/>
    <w:rsid w:val="003F0763"/>
    <w:rsid w:val="003F0BBB"/>
    <w:rsid w:val="003F32C2"/>
    <w:rsid w:val="0040078F"/>
    <w:rsid w:val="00403056"/>
    <w:rsid w:val="00404372"/>
    <w:rsid w:val="00411668"/>
    <w:rsid w:val="0041775D"/>
    <w:rsid w:val="00423978"/>
    <w:rsid w:val="00425296"/>
    <w:rsid w:val="00426D8B"/>
    <w:rsid w:val="004340F7"/>
    <w:rsid w:val="00434352"/>
    <w:rsid w:val="004343F4"/>
    <w:rsid w:val="00436FBF"/>
    <w:rsid w:val="00442B1A"/>
    <w:rsid w:val="004430A3"/>
    <w:rsid w:val="0044564E"/>
    <w:rsid w:val="0044733B"/>
    <w:rsid w:val="004509AF"/>
    <w:rsid w:val="00450CB2"/>
    <w:rsid w:val="00451BE7"/>
    <w:rsid w:val="00451E23"/>
    <w:rsid w:val="00455179"/>
    <w:rsid w:val="00460DED"/>
    <w:rsid w:val="004632F3"/>
    <w:rsid w:val="004650D8"/>
    <w:rsid w:val="00465B8C"/>
    <w:rsid w:val="00467A4B"/>
    <w:rsid w:val="0047090B"/>
    <w:rsid w:val="004714B3"/>
    <w:rsid w:val="0047390A"/>
    <w:rsid w:val="004748B7"/>
    <w:rsid w:val="00476C67"/>
    <w:rsid w:val="00480CF8"/>
    <w:rsid w:val="00481B0B"/>
    <w:rsid w:val="00483BC1"/>
    <w:rsid w:val="00495F6A"/>
    <w:rsid w:val="004A2C5F"/>
    <w:rsid w:val="004A7BB0"/>
    <w:rsid w:val="004B24F1"/>
    <w:rsid w:val="004B3801"/>
    <w:rsid w:val="004B3DB4"/>
    <w:rsid w:val="004B5A2A"/>
    <w:rsid w:val="004B63DA"/>
    <w:rsid w:val="004C04CF"/>
    <w:rsid w:val="004C1AE0"/>
    <w:rsid w:val="004C2A44"/>
    <w:rsid w:val="004C418D"/>
    <w:rsid w:val="004C4B08"/>
    <w:rsid w:val="004C504B"/>
    <w:rsid w:val="004C5C7D"/>
    <w:rsid w:val="004C6A8C"/>
    <w:rsid w:val="004C6CF6"/>
    <w:rsid w:val="004D2306"/>
    <w:rsid w:val="004D2D4E"/>
    <w:rsid w:val="004D3E6C"/>
    <w:rsid w:val="004D3E76"/>
    <w:rsid w:val="004D485E"/>
    <w:rsid w:val="004D55EC"/>
    <w:rsid w:val="004D5665"/>
    <w:rsid w:val="004D5DCE"/>
    <w:rsid w:val="004E1B60"/>
    <w:rsid w:val="004E1CB4"/>
    <w:rsid w:val="004E2BD1"/>
    <w:rsid w:val="004E2FCB"/>
    <w:rsid w:val="004E3F7A"/>
    <w:rsid w:val="004E458D"/>
    <w:rsid w:val="004E4B3E"/>
    <w:rsid w:val="004E4EB9"/>
    <w:rsid w:val="004E58BD"/>
    <w:rsid w:val="004E6492"/>
    <w:rsid w:val="004E7611"/>
    <w:rsid w:val="004E7B14"/>
    <w:rsid w:val="004E7C66"/>
    <w:rsid w:val="004E7E17"/>
    <w:rsid w:val="004F17EE"/>
    <w:rsid w:val="004F2CB4"/>
    <w:rsid w:val="004F4655"/>
    <w:rsid w:val="004F4F0D"/>
    <w:rsid w:val="004F6964"/>
    <w:rsid w:val="004F75AE"/>
    <w:rsid w:val="005017F1"/>
    <w:rsid w:val="00503A99"/>
    <w:rsid w:val="0050421D"/>
    <w:rsid w:val="00506173"/>
    <w:rsid w:val="005168D2"/>
    <w:rsid w:val="00523069"/>
    <w:rsid w:val="005258C4"/>
    <w:rsid w:val="0052598D"/>
    <w:rsid w:val="0052682F"/>
    <w:rsid w:val="00526DEB"/>
    <w:rsid w:val="005301B8"/>
    <w:rsid w:val="00535CA0"/>
    <w:rsid w:val="005364A0"/>
    <w:rsid w:val="00541019"/>
    <w:rsid w:val="0054111E"/>
    <w:rsid w:val="005434A3"/>
    <w:rsid w:val="00543B8D"/>
    <w:rsid w:val="00543B98"/>
    <w:rsid w:val="00546F1D"/>
    <w:rsid w:val="0055070C"/>
    <w:rsid w:val="00553C4D"/>
    <w:rsid w:val="005548E7"/>
    <w:rsid w:val="00555A7E"/>
    <w:rsid w:val="00556A1F"/>
    <w:rsid w:val="00557F8F"/>
    <w:rsid w:val="00560B71"/>
    <w:rsid w:val="00561D70"/>
    <w:rsid w:val="00562C8C"/>
    <w:rsid w:val="0056325C"/>
    <w:rsid w:val="00563295"/>
    <w:rsid w:val="00563A73"/>
    <w:rsid w:val="005679E9"/>
    <w:rsid w:val="00572076"/>
    <w:rsid w:val="00574065"/>
    <w:rsid w:val="00580808"/>
    <w:rsid w:val="00582E98"/>
    <w:rsid w:val="00582F9C"/>
    <w:rsid w:val="0058311A"/>
    <w:rsid w:val="005844E6"/>
    <w:rsid w:val="00585929"/>
    <w:rsid w:val="005870F8"/>
    <w:rsid w:val="00587314"/>
    <w:rsid w:val="00590F9B"/>
    <w:rsid w:val="0059142F"/>
    <w:rsid w:val="00593FB5"/>
    <w:rsid w:val="00595EE1"/>
    <w:rsid w:val="005A0732"/>
    <w:rsid w:val="005A1294"/>
    <w:rsid w:val="005A47DD"/>
    <w:rsid w:val="005A58A5"/>
    <w:rsid w:val="005A7933"/>
    <w:rsid w:val="005B0535"/>
    <w:rsid w:val="005B1BB7"/>
    <w:rsid w:val="005B3792"/>
    <w:rsid w:val="005B4640"/>
    <w:rsid w:val="005B47F0"/>
    <w:rsid w:val="005B7CDF"/>
    <w:rsid w:val="005C0A8F"/>
    <w:rsid w:val="005C21F2"/>
    <w:rsid w:val="005C26B2"/>
    <w:rsid w:val="005C354A"/>
    <w:rsid w:val="005C36AE"/>
    <w:rsid w:val="005C3C80"/>
    <w:rsid w:val="005C44FE"/>
    <w:rsid w:val="005C5133"/>
    <w:rsid w:val="005C5AB7"/>
    <w:rsid w:val="005D073C"/>
    <w:rsid w:val="005D0E11"/>
    <w:rsid w:val="005D1BE7"/>
    <w:rsid w:val="005D384C"/>
    <w:rsid w:val="005D6082"/>
    <w:rsid w:val="005D6A54"/>
    <w:rsid w:val="005E0B31"/>
    <w:rsid w:val="005E65B0"/>
    <w:rsid w:val="005E690F"/>
    <w:rsid w:val="005F02E4"/>
    <w:rsid w:val="005F26D5"/>
    <w:rsid w:val="005F3CFD"/>
    <w:rsid w:val="005F4692"/>
    <w:rsid w:val="005F70EC"/>
    <w:rsid w:val="0060036D"/>
    <w:rsid w:val="00601BCF"/>
    <w:rsid w:val="0060277D"/>
    <w:rsid w:val="00610F00"/>
    <w:rsid w:val="00612362"/>
    <w:rsid w:val="006167D7"/>
    <w:rsid w:val="0061691A"/>
    <w:rsid w:val="006174EC"/>
    <w:rsid w:val="00620EF0"/>
    <w:rsid w:val="00626ABA"/>
    <w:rsid w:val="00630E95"/>
    <w:rsid w:val="00632DAB"/>
    <w:rsid w:val="00634282"/>
    <w:rsid w:val="006361E5"/>
    <w:rsid w:val="006363DD"/>
    <w:rsid w:val="006404B5"/>
    <w:rsid w:val="00641584"/>
    <w:rsid w:val="00643D0B"/>
    <w:rsid w:val="00647249"/>
    <w:rsid w:val="006521A4"/>
    <w:rsid w:val="0065277A"/>
    <w:rsid w:val="00654083"/>
    <w:rsid w:val="00654CF7"/>
    <w:rsid w:val="00655A08"/>
    <w:rsid w:val="00657239"/>
    <w:rsid w:val="00657A0F"/>
    <w:rsid w:val="00657D62"/>
    <w:rsid w:val="00660D92"/>
    <w:rsid w:val="00662802"/>
    <w:rsid w:val="00663D2A"/>
    <w:rsid w:val="00665F19"/>
    <w:rsid w:val="0067164A"/>
    <w:rsid w:val="00674C9E"/>
    <w:rsid w:val="006777BB"/>
    <w:rsid w:val="00680AE5"/>
    <w:rsid w:val="00681E94"/>
    <w:rsid w:val="00682909"/>
    <w:rsid w:val="00684FC9"/>
    <w:rsid w:val="00685099"/>
    <w:rsid w:val="006851AA"/>
    <w:rsid w:val="00690E6B"/>
    <w:rsid w:val="00691453"/>
    <w:rsid w:val="00691533"/>
    <w:rsid w:val="00693DFE"/>
    <w:rsid w:val="00693F92"/>
    <w:rsid w:val="00697026"/>
    <w:rsid w:val="006A3AB9"/>
    <w:rsid w:val="006B2CC4"/>
    <w:rsid w:val="006B3388"/>
    <w:rsid w:val="006B6115"/>
    <w:rsid w:val="006B639D"/>
    <w:rsid w:val="006C0290"/>
    <w:rsid w:val="006C24CF"/>
    <w:rsid w:val="006C2A28"/>
    <w:rsid w:val="006C3830"/>
    <w:rsid w:val="006C5E1C"/>
    <w:rsid w:val="006C5E91"/>
    <w:rsid w:val="006C6136"/>
    <w:rsid w:val="006C6F4F"/>
    <w:rsid w:val="006C72D9"/>
    <w:rsid w:val="006D44A0"/>
    <w:rsid w:val="006D5621"/>
    <w:rsid w:val="006D5F31"/>
    <w:rsid w:val="006E1771"/>
    <w:rsid w:val="006E322C"/>
    <w:rsid w:val="006E3F5C"/>
    <w:rsid w:val="006E5C81"/>
    <w:rsid w:val="006E6571"/>
    <w:rsid w:val="006F1B43"/>
    <w:rsid w:val="006F68E3"/>
    <w:rsid w:val="006F6F49"/>
    <w:rsid w:val="00701277"/>
    <w:rsid w:val="00701E23"/>
    <w:rsid w:val="00703EC8"/>
    <w:rsid w:val="00706370"/>
    <w:rsid w:val="00707E82"/>
    <w:rsid w:val="00714E1F"/>
    <w:rsid w:val="00715DE8"/>
    <w:rsid w:val="007161D2"/>
    <w:rsid w:val="00721C8F"/>
    <w:rsid w:val="007303D1"/>
    <w:rsid w:val="007309F8"/>
    <w:rsid w:val="0073134B"/>
    <w:rsid w:val="00732611"/>
    <w:rsid w:val="007334B4"/>
    <w:rsid w:val="007349DD"/>
    <w:rsid w:val="00735740"/>
    <w:rsid w:val="00735E22"/>
    <w:rsid w:val="00736574"/>
    <w:rsid w:val="007372DF"/>
    <w:rsid w:val="0074131E"/>
    <w:rsid w:val="00742F2B"/>
    <w:rsid w:val="007464AB"/>
    <w:rsid w:val="007547EB"/>
    <w:rsid w:val="007579F1"/>
    <w:rsid w:val="00761215"/>
    <w:rsid w:val="007615F9"/>
    <w:rsid w:val="00761F2C"/>
    <w:rsid w:val="007731F4"/>
    <w:rsid w:val="00773EA2"/>
    <w:rsid w:val="00774484"/>
    <w:rsid w:val="00775AEF"/>
    <w:rsid w:val="007831D2"/>
    <w:rsid w:val="00784AA3"/>
    <w:rsid w:val="00787B4A"/>
    <w:rsid w:val="0079081C"/>
    <w:rsid w:val="00790FCF"/>
    <w:rsid w:val="0079125A"/>
    <w:rsid w:val="00791743"/>
    <w:rsid w:val="00797080"/>
    <w:rsid w:val="00797D50"/>
    <w:rsid w:val="007A13E2"/>
    <w:rsid w:val="007A1EE1"/>
    <w:rsid w:val="007A5594"/>
    <w:rsid w:val="007B038E"/>
    <w:rsid w:val="007B26B3"/>
    <w:rsid w:val="007C0781"/>
    <w:rsid w:val="007C263E"/>
    <w:rsid w:val="007C2952"/>
    <w:rsid w:val="007C32D0"/>
    <w:rsid w:val="007C6047"/>
    <w:rsid w:val="007D0DA4"/>
    <w:rsid w:val="007D1B3A"/>
    <w:rsid w:val="007D1D2E"/>
    <w:rsid w:val="007D2C10"/>
    <w:rsid w:val="007D331C"/>
    <w:rsid w:val="007D4336"/>
    <w:rsid w:val="007D63F6"/>
    <w:rsid w:val="007D7FC3"/>
    <w:rsid w:val="007E1029"/>
    <w:rsid w:val="007E5031"/>
    <w:rsid w:val="007E5AF9"/>
    <w:rsid w:val="007F06F6"/>
    <w:rsid w:val="007F07B6"/>
    <w:rsid w:val="007F1888"/>
    <w:rsid w:val="007F2331"/>
    <w:rsid w:val="007F3439"/>
    <w:rsid w:val="007F3714"/>
    <w:rsid w:val="007F389F"/>
    <w:rsid w:val="007F48F9"/>
    <w:rsid w:val="007F549D"/>
    <w:rsid w:val="007F5F05"/>
    <w:rsid w:val="008006F9"/>
    <w:rsid w:val="00804BA1"/>
    <w:rsid w:val="00804FD0"/>
    <w:rsid w:val="00805852"/>
    <w:rsid w:val="0080597B"/>
    <w:rsid w:val="008117C0"/>
    <w:rsid w:val="00814394"/>
    <w:rsid w:val="00815584"/>
    <w:rsid w:val="0081770D"/>
    <w:rsid w:val="00822B12"/>
    <w:rsid w:val="0084329C"/>
    <w:rsid w:val="00844A80"/>
    <w:rsid w:val="00850544"/>
    <w:rsid w:val="0085308C"/>
    <w:rsid w:val="0085525D"/>
    <w:rsid w:val="0086181C"/>
    <w:rsid w:val="00863235"/>
    <w:rsid w:val="00863F1B"/>
    <w:rsid w:val="00867FE4"/>
    <w:rsid w:val="0087102F"/>
    <w:rsid w:val="00871D4D"/>
    <w:rsid w:val="00876766"/>
    <w:rsid w:val="00876FF9"/>
    <w:rsid w:val="00877581"/>
    <w:rsid w:val="00877F59"/>
    <w:rsid w:val="00883174"/>
    <w:rsid w:val="0088358D"/>
    <w:rsid w:val="008846E2"/>
    <w:rsid w:val="00886B24"/>
    <w:rsid w:val="0088767D"/>
    <w:rsid w:val="00887E94"/>
    <w:rsid w:val="00892443"/>
    <w:rsid w:val="00892660"/>
    <w:rsid w:val="008948C9"/>
    <w:rsid w:val="00894E7C"/>
    <w:rsid w:val="00896493"/>
    <w:rsid w:val="008A01CC"/>
    <w:rsid w:val="008A150A"/>
    <w:rsid w:val="008A26F9"/>
    <w:rsid w:val="008A3769"/>
    <w:rsid w:val="008A4D75"/>
    <w:rsid w:val="008A6D03"/>
    <w:rsid w:val="008A7191"/>
    <w:rsid w:val="008B04C5"/>
    <w:rsid w:val="008B2250"/>
    <w:rsid w:val="008B3DCA"/>
    <w:rsid w:val="008B4C11"/>
    <w:rsid w:val="008B5D51"/>
    <w:rsid w:val="008B6176"/>
    <w:rsid w:val="008B713F"/>
    <w:rsid w:val="008C0DA0"/>
    <w:rsid w:val="008C72F6"/>
    <w:rsid w:val="008D0B45"/>
    <w:rsid w:val="008D0FCB"/>
    <w:rsid w:val="008D3A62"/>
    <w:rsid w:val="008D55F6"/>
    <w:rsid w:val="008D75B6"/>
    <w:rsid w:val="008E09DE"/>
    <w:rsid w:val="008E1782"/>
    <w:rsid w:val="008E189C"/>
    <w:rsid w:val="008E452B"/>
    <w:rsid w:val="008F072D"/>
    <w:rsid w:val="008F08C0"/>
    <w:rsid w:val="008F092B"/>
    <w:rsid w:val="008F14DD"/>
    <w:rsid w:val="008F7547"/>
    <w:rsid w:val="009031BE"/>
    <w:rsid w:val="0090384C"/>
    <w:rsid w:val="00903BBB"/>
    <w:rsid w:val="00904A8D"/>
    <w:rsid w:val="00905138"/>
    <w:rsid w:val="0090532B"/>
    <w:rsid w:val="00911F79"/>
    <w:rsid w:val="009123D7"/>
    <w:rsid w:val="0091527E"/>
    <w:rsid w:val="0091540A"/>
    <w:rsid w:val="0092266A"/>
    <w:rsid w:val="00924843"/>
    <w:rsid w:val="00927434"/>
    <w:rsid w:val="0094164C"/>
    <w:rsid w:val="00941B53"/>
    <w:rsid w:val="00942D6E"/>
    <w:rsid w:val="009455C5"/>
    <w:rsid w:val="0094664A"/>
    <w:rsid w:val="009474C8"/>
    <w:rsid w:val="009516F3"/>
    <w:rsid w:val="009523B8"/>
    <w:rsid w:val="00952E1A"/>
    <w:rsid w:val="00953AE4"/>
    <w:rsid w:val="00954076"/>
    <w:rsid w:val="00954194"/>
    <w:rsid w:val="009569E5"/>
    <w:rsid w:val="00960AB8"/>
    <w:rsid w:val="00962552"/>
    <w:rsid w:val="009626DF"/>
    <w:rsid w:val="00963356"/>
    <w:rsid w:val="00965F02"/>
    <w:rsid w:val="00970EF0"/>
    <w:rsid w:val="0097359C"/>
    <w:rsid w:val="00977998"/>
    <w:rsid w:val="00983060"/>
    <w:rsid w:val="0098599E"/>
    <w:rsid w:val="00985ED3"/>
    <w:rsid w:val="00991847"/>
    <w:rsid w:val="0099415D"/>
    <w:rsid w:val="0099678A"/>
    <w:rsid w:val="0099723F"/>
    <w:rsid w:val="009A1732"/>
    <w:rsid w:val="009A1889"/>
    <w:rsid w:val="009A4DC3"/>
    <w:rsid w:val="009A4F78"/>
    <w:rsid w:val="009A7424"/>
    <w:rsid w:val="009B250A"/>
    <w:rsid w:val="009B61F2"/>
    <w:rsid w:val="009B7EE5"/>
    <w:rsid w:val="009C2701"/>
    <w:rsid w:val="009C4BD7"/>
    <w:rsid w:val="009C56CC"/>
    <w:rsid w:val="009C6882"/>
    <w:rsid w:val="009D37D4"/>
    <w:rsid w:val="009D79AB"/>
    <w:rsid w:val="009E07FE"/>
    <w:rsid w:val="009E4DCD"/>
    <w:rsid w:val="009E6205"/>
    <w:rsid w:val="009E7CEF"/>
    <w:rsid w:val="009F1AF2"/>
    <w:rsid w:val="009F30AF"/>
    <w:rsid w:val="009F38DA"/>
    <w:rsid w:val="009F4069"/>
    <w:rsid w:val="009F7A6C"/>
    <w:rsid w:val="00A0028A"/>
    <w:rsid w:val="00A0346B"/>
    <w:rsid w:val="00A05BFC"/>
    <w:rsid w:val="00A13713"/>
    <w:rsid w:val="00A20BB4"/>
    <w:rsid w:val="00A24480"/>
    <w:rsid w:val="00A254EA"/>
    <w:rsid w:val="00A3020B"/>
    <w:rsid w:val="00A309DF"/>
    <w:rsid w:val="00A3589E"/>
    <w:rsid w:val="00A35ABD"/>
    <w:rsid w:val="00A43BA1"/>
    <w:rsid w:val="00A53253"/>
    <w:rsid w:val="00A56947"/>
    <w:rsid w:val="00A65D09"/>
    <w:rsid w:val="00A66F9D"/>
    <w:rsid w:val="00A722F0"/>
    <w:rsid w:val="00A74495"/>
    <w:rsid w:val="00A81991"/>
    <w:rsid w:val="00A824B9"/>
    <w:rsid w:val="00A83B39"/>
    <w:rsid w:val="00A87306"/>
    <w:rsid w:val="00A966A0"/>
    <w:rsid w:val="00AA0AE2"/>
    <w:rsid w:val="00AA2552"/>
    <w:rsid w:val="00AA3B0F"/>
    <w:rsid w:val="00AB0B7C"/>
    <w:rsid w:val="00AB1723"/>
    <w:rsid w:val="00AB1B9F"/>
    <w:rsid w:val="00AB22CE"/>
    <w:rsid w:val="00AB26BA"/>
    <w:rsid w:val="00AB43E3"/>
    <w:rsid w:val="00AB67A3"/>
    <w:rsid w:val="00AB68BD"/>
    <w:rsid w:val="00AB6A34"/>
    <w:rsid w:val="00AB6E73"/>
    <w:rsid w:val="00AC08A5"/>
    <w:rsid w:val="00AC1A5F"/>
    <w:rsid w:val="00AC3D85"/>
    <w:rsid w:val="00AC7B56"/>
    <w:rsid w:val="00AD1C46"/>
    <w:rsid w:val="00AD3222"/>
    <w:rsid w:val="00AD51A8"/>
    <w:rsid w:val="00AD791A"/>
    <w:rsid w:val="00AE1D59"/>
    <w:rsid w:val="00AE2562"/>
    <w:rsid w:val="00AE3F4C"/>
    <w:rsid w:val="00AE54E1"/>
    <w:rsid w:val="00AE5D2D"/>
    <w:rsid w:val="00AE60EA"/>
    <w:rsid w:val="00AE7D02"/>
    <w:rsid w:val="00AF0F1A"/>
    <w:rsid w:val="00AF1576"/>
    <w:rsid w:val="00AF437C"/>
    <w:rsid w:val="00AF54E1"/>
    <w:rsid w:val="00B028D2"/>
    <w:rsid w:val="00B0364F"/>
    <w:rsid w:val="00B04D4B"/>
    <w:rsid w:val="00B06CEC"/>
    <w:rsid w:val="00B1166E"/>
    <w:rsid w:val="00B1179F"/>
    <w:rsid w:val="00B11E89"/>
    <w:rsid w:val="00B14C64"/>
    <w:rsid w:val="00B1514F"/>
    <w:rsid w:val="00B21335"/>
    <w:rsid w:val="00B24DCA"/>
    <w:rsid w:val="00B26762"/>
    <w:rsid w:val="00B30555"/>
    <w:rsid w:val="00B33D80"/>
    <w:rsid w:val="00B41763"/>
    <w:rsid w:val="00B41BCA"/>
    <w:rsid w:val="00B41E38"/>
    <w:rsid w:val="00B43003"/>
    <w:rsid w:val="00B43018"/>
    <w:rsid w:val="00B43B62"/>
    <w:rsid w:val="00B46F4D"/>
    <w:rsid w:val="00B501B4"/>
    <w:rsid w:val="00B51723"/>
    <w:rsid w:val="00B5328E"/>
    <w:rsid w:val="00B54EFF"/>
    <w:rsid w:val="00B55D70"/>
    <w:rsid w:val="00B55EF6"/>
    <w:rsid w:val="00B6071D"/>
    <w:rsid w:val="00B60D50"/>
    <w:rsid w:val="00B6218A"/>
    <w:rsid w:val="00B629E5"/>
    <w:rsid w:val="00B71ECE"/>
    <w:rsid w:val="00B7396E"/>
    <w:rsid w:val="00B754CB"/>
    <w:rsid w:val="00B75614"/>
    <w:rsid w:val="00B776F8"/>
    <w:rsid w:val="00B85AFC"/>
    <w:rsid w:val="00B907DC"/>
    <w:rsid w:val="00B90DD1"/>
    <w:rsid w:val="00B9168E"/>
    <w:rsid w:val="00B91E6E"/>
    <w:rsid w:val="00B927C9"/>
    <w:rsid w:val="00B92A3A"/>
    <w:rsid w:val="00B962C0"/>
    <w:rsid w:val="00B96877"/>
    <w:rsid w:val="00B97DB9"/>
    <w:rsid w:val="00BA0516"/>
    <w:rsid w:val="00BA0D97"/>
    <w:rsid w:val="00BA120A"/>
    <w:rsid w:val="00BA6D5D"/>
    <w:rsid w:val="00BA7F29"/>
    <w:rsid w:val="00BB0F4D"/>
    <w:rsid w:val="00BB1354"/>
    <w:rsid w:val="00BB3E3E"/>
    <w:rsid w:val="00BC055F"/>
    <w:rsid w:val="00BC0DF7"/>
    <w:rsid w:val="00BC7624"/>
    <w:rsid w:val="00BD2182"/>
    <w:rsid w:val="00BD2301"/>
    <w:rsid w:val="00BD2365"/>
    <w:rsid w:val="00BD33B8"/>
    <w:rsid w:val="00BE5457"/>
    <w:rsid w:val="00BF06F8"/>
    <w:rsid w:val="00BF1C8A"/>
    <w:rsid w:val="00BF35AC"/>
    <w:rsid w:val="00BF3650"/>
    <w:rsid w:val="00BF585A"/>
    <w:rsid w:val="00BF6119"/>
    <w:rsid w:val="00BF61E4"/>
    <w:rsid w:val="00BF6C1C"/>
    <w:rsid w:val="00BF7DD4"/>
    <w:rsid w:val="00C00987"/>
    <w:rsid w:val="00C00A6B"/>
    <w:rsid w:val="00C042E6"/>
    <w:rsid w:val="00C05A0B"/>
    <w:rsid w:val="00C062A7"/>
    <w:rsid w:val="00C06A32"/>
    <w:rsid w:val="00C10F3E"/>
    <w:rsid w:val="00C10F7D"/>
    <w:rsid w:val="00C1242C"/>
    <w:rsid w:val="00C162F0"/>
    <w:rsid w:val="00C16A7C"/>
    <w:rsid w:val="00C20CB8"/>
    <w:rsid w:val="00C20FCF"/>
    <w:rsid w:val="00C21017"/>
    <w:rsid w:val="00C21B5C"/>
    <w:rsid w:val="00C24658"/>
    <w:rsid w:val="00C25021"/>
    <w:rsid w:val="00C25A44"/>
    <w:rsid w:val="00C31FA9"/>
    <w:rsid w:val="00C32CEC"/>
    <w:rsid w:val="00C35693"/>
    <w:rsid w:val="00C40420"/>
    <w:rsid w:val="00C40A82"/>
    <w:rsid w:val="00C42B7C"/>
    <w:rsid w:val="00C43213"/>
    <w:rsid w:val="00C43D45"/>
    <w:rsid w:val="00C512F8"/>
    <w:rsid w:val="00C539B2"/>
    <w:rsid w:val="00C546DD"/>
    <w:rsid w:val="00C548EA"/>
    <w:rsid w:val="00C564D6"/>
    <w:rsid w:val="00C56D60"/>
    <w:rsid w:val="00C57606"/>
    <w:rsid w:val="00C6016A"/>
    <w:rsid w:val="00C60502"/>
    <w:rsid w:val="00C625B9"/>
    <w:rsid w:val="00C62757"/>
    <w:rsid w:val="00C62801"/>
    <w:rsid w:val="00C644EF"/>
    <w:rsid w:val="00C6536C"/>
    <w:rsid w:val="00C6640D"/>
    <w:rsid w:val="00C66E3C"/>
    <w:rsid w:val="00C72558"/>
    <w:rsid w:val="00C746D4"/>
    <w:rsid w:val="00C76EF4"/>
    <w:rsid w:val="00C770ED"/>
    <w:rsid w:val="00C77206"/>
    <w:rsid w:val="00C7769C"/>
    <w:rsid w:val="00C77E1F"/>
    <w:rsid w:val="00C8178A"/>
    <w:rsid w:val="00C817F2"/>
    <w:rsid w:val="00C81BF4"/>
    <w:rsid w:val="00C825D3"/>
    <w:rsid w:val="00CA2383"/>
    <w:rsid w:val="00CA6902"/>
    <w:rsid w:val="00CA74D8"/>
    <w:rsid w:val="00CA7907"/>
    <w:rsid w:val="00CA7E28"/>
    <w:rsid w:val="00CB257D"/>
    <w:rsid w:val="00CB37AC"/>
    <w:rsid w:val="00CB3CF0"/>
    <w:rsid w:val="00CB57E8"/>
    <w:rsid w:val="00CB680F"/>
    <w:rsid w:val="00CC04F0"/>
    <w:rsid w:val="00CC0666"/>
    <w:rsid w:val="00CC48B8"/>
    <w:rsid w:val="00CC4B96"/>
    <w:rsid w:val="00CC5FA9"/>
    <w:rsid w:val="00CC6591"/>
    <w:rsid w:val="00CC7133"/>
    <w:rsid w:val="00CD0BA7"/>
    <w:rsid w:val="00CD6827"/>
    <w:rsid w:val="00CD774B"/>
    <w:rsid w:val="00CE0073"/>
    <w:rsid w:val="00CE0DE4"/>
    <w:rsid w:val="00CE1AD6"/>
    <w:rsid w:val="00CE4488"/>
    <w:rsid w:val="00CE5C88"/>
    <w:rsid w:val="00CE66E3"/>
    <w:rsid w:val="00CF20ED"/>
    <w:rsid w:val="00CF2E46"/>
    <w:rsid w:val="00CF65C9"/>
    <w:rsid w:val="00D02194"/>
    <w:rsid w:val="00D0285F"/>
    <w:rsid w:val="00D110F4"/>
    <w:rsid w:val="00D16FC9"/>
    <w:rsid w:val="00D23268"/>
    <w:rsid w:val="00D23C09"/>
    <w:rsid w:val="00D249D1"/>
    <w:rsid w:val="00D262B7"/>
    <w:rsid w:val="00D2758D"/>
    <w:rsid w:val="00D27E61"/>
    <w:rsid w:val="00D31AFD"/>
    <w:rsid w:val="00D31D92"/>
    <w:rsid w:val="00D33899"/>
    <w:rsid w:val="00D3466E"/>
    <w:rsid w:val="00D3571F"/>
    <w:rsid w:val="00D40177"/>
    <w:rsid w:val="00D44363"/>
    <w:rsid w:val="00D445B3"/>
    <w:rsid w:val="00D503A1"/>
    <w:rsid w:val="00D51C04"/>
    <w:rsid w:val="00D53E74"/>
    <w:rsid w:val="00D56B9C"/>
    <w:rsid w:val="00D61603"/>
    <w:rsid w:val="00D648D1"/>
    <w:rsid w:val="00D65CC2"/>
    <w:rsid w:val="00D70220"/>
    <w:rsid w:val="00D70C5E"/>
    <w:rsid w:val="00D71666"/>
    <w:rsid w:val="00D71A00"/>
    <w:rsid w:val="00D74EE3"/>
    <w:rsid w:val="00D772EF"/>
    <w:rsid w:val="00D773F5"/>
    <w:rsid w:val="00D81228"/>
    <w:rsid w:val="00D83741"/>
    <w:rsid w:val="00D85447"/>
    <w:rsid w:val="00D86492"/>
    <w:rsid w:val="00D87A1F"/>
    <w:rsid w:val="00D9016F"/>
    <w:rsid w:val="00D91778"/>
    <w:rsid w:val="00D91931"/>
    <w:rsid w:val="00D92E1C"/>
    <w:rsid w:val="00D948CC"/>
    <w:rsid w:val="00DA020D"/>
    <w:rsid w:val="00DA0E89"/>
    <w:rsid w:val="00DA3B2C"/>
    <w:rsid w:val="00DA4116"/>
    <w:rsid w:val="00DA485A"/>
    <w:rsid w:val="00DA4B4F"/>
    <w:rsid w:val="00DA5765"/>
    <w:rsid w:val="00DA5BCD"/>
    <w:rsid w:val="00DA630E"/>
    <w:rsid w:val="00DB1055"/>
    <w:rsid w:val="00DB29F2"/>
    <w:rsid w:val="00DB3BA6"/>
    <w:rsid w:val="00DB5E11"/>
    <w:rsid w:val="00DC130F"/>
    <w:rsid w:val="00DC2121"/>
    <w:rsid w:val="00DC367C"/>
    <w:rsid w:val="00DD1822"/>
    <w:rsid w:val="00DD29F9"/>
    <w:rsid w:val="00DD72D3"/>
    <w:rsid w:val="00DD79E4"/>
    <w:rsid w:val="00DE18CB"/>
    <w:rsid w:val="00DE464D"/>
    <w:rsid w:val="00DE5BD7"/>
    <w:rsid w:val="00DE667A"/>
    <w:rsid w:val="00DF0CA0"/>
    <w:rsid w:val="00DF3CF1"/>
    <w:rsid w:val="00DF4472"/>
    <w:rsid w:val="00DF4BFA"/>
    <w:rsid w:val="00E04787"/>
    <w:rsid w:val="00E04806"/>
    <w:rsid w:val="00E07171"/>
    <w:rsid w:val="00E07459"/>
    <w:rsid w:val="00E15866"/>
    <w:rsid w:val="00E16FB6"/>
    <w:rsid w:val="00E178BF"/>
    <w:rsid w:val="00E20928"/>
    <w:rsid w:val="00E22172"/>
    <w:rsid w:val="00E238EC"/>
    <w:rsid w:val="00E248D4"/>
    <w:rsid w:val="00E25122"/>
    <w:rsid w:val="00E2728C"/>
    <w:rsid w:val="00E275D6"/>
    <w:rsid w:val="00E30099"/>
    <w:rsid w:val="00E34571"/>
    <w:rsid w:val="00E37E01"/>
    <w:rsid w:val="00E4293A"/>
    <w:rsid w:val="00E429F5"/>
    <w:rsid w:val="00E42AD8"/>
    <w:rsid w:val="00E43DD7"/>
    <w:rsid w:val="00E4575C"/>
    <w:rsid w:val="00E45EA3"/>
    <w:rsid w:val="00E45F85"/>
    <w:rsid w:val="00E50ED4"/>
    <w:rsid w:val="00E5140A"/>
    <w:rsid w:val="00E520BF"/>
    <w:rsid w:val="00E52EEB"/>
    <w:rsid w:val="00E5770A"/>
    <w:rsid w:val="00E621D9"/>
    <w:rsid w:val="00E66D46"/>
    <w:rsid w:val="00E66E06"/>
    <w:rsid w:val="00E67E2A"/>
    <w:rsid w:val="00E73553"/>
    <w:rsid w:val="00E73690"/>
    <w:rsid w:val="00E73767"/>
    <w:rsid w:val="00E766D9"/>
    <w:rsid w:val="00E83417"/>
    <w:rsid w:val="00E84A80"/>
    <w:rsid w:val="00E84EA3"/>
    <w:rsid w:val="00E86274"/>
    <w:rsid w:val="00E87C8F"/>
    <w:rsid w:val="00E90E0A"/>
    <w:rsid w:val="00E96710"/>
    <w:rsid w:val="00EA2707"/>
    <w:rsid w:val="00EA79AF"/>
    <w:rsid w:val="00EB0A30"/>
    <w:rsid w:val="00EB0B99"/>
    <w:rsid w:val="00EB1398"/>
    <w:rsid w:val="00EB20B6"/>
    <w:rsid w:val="00EB21D8"/>
    <w:rsid w:val="00EB23EB"/>
    <w:rsid w:val="00EB3315"/>
    <w:rsid w:val="00EC18B5"/>
    <w:rsid w:val="00EC25D0"/>
    <w:rsid w:val="00EC2FE4"/>
    <w:rsid w:val="00EC59D7"/>
    <w:rsid w:val="00ED3B81"/>
    <w:rsid w:val="00ED48C8"/>
    <w:rsid w:val="00ED73FE"/>
    <w:rsid w:val="00EE2A94"/>
    <w:rsid w:val="00EE2B04"/>
    <w:rsid w:val="00EE44FE"/>
    <w:rsid w:val="00EE65DD"/>
    <w:rsid w:val="00EE69A6"/>
    <w:rsid w:val="00EF0B07"/>
    <w:rsid w:val="00F002A2"/>
    <w:rsid w:val="00F0244E"/>
    <w:rsid w:val="00F02E27"/>
    <w:rsid w:val="00F10540"/>
    <w:rsid w:val="00F10B0E"/>
    <w:rsid w:val="00F11797"/>
    <w:rsid w:val="00F11863"/>
    <w:rsid w:val="00F122DE"/>
    <w:rsid w:val="00F13AE6"/>
    <w:rsid w:val="00F157C2"/>
    <w:rsid w:val="00F170BC"/>
    <w:rsid w:val="00F20084"/>
    <w:rsid w:val="00F2126B"/>
    <w:rsid w:val="00F231A5"/>
    <w:rsid w:val="00F26AB4"/>
    <w:rsid w:val="00F47ED9"/>
    <w:rsid w:val="00F47FE6"/>
    <w:rsid w:val="00F51D2C"/>
    <w:rsid w:val="00F523EC"/>
    <w:rsid w:val="00F53852"/>
    <w:rsid w:val="00F54959"/>
    <w:rsid w:val="00F5684C"/>
    <w:rsid w:val="00F57EB0"/>
    <w:rsid w:val="00F67241"/>
    <w:rsid w:val="00F67F75"/>
    <w:rsid w:val="00F709CD"/>
    <w:rsid w:val="00F71513"/>
    <w:rsid w:val="00F741D1"/>
    <w:rsid w:val="00F74816"/>
    <w:rsid w:val="00F772D5"/>
    <w:rsid w:val="00F7759C"/>
    <w:rsid w:val="00F80A23"/>
    <w:rsid w:val="00F833C8"/>
    <w:rsid w:val="00F84AD9"/>
    <w:rsid w:val="00F85C95"/>
    <w:rsid w:val="00F86474"/>
    <w:rsid w:val="00F868B6"/>
    <w:rsid w:val="00F8766F"/>
    <w:rsid w:val="00F91005"/>
    <w:rsid w:val="00F9243B"/>
    <w:rsid w:val="00F94466"/>
    <w:rsid w:val="00F9463C"/>
    <w:rsid w:val="00F95156"/>
    <w:rsid w:val="00FA3BD1"/>
    <w:rsid w:val="00FA4919"/>
    <w:rsid w:val="00FA7345"/>
    <w:rsid w:val="00FB09F5"/>
    <w:rsid w:val="00FB23E5"/>
    <w:rsid w:val="00FB4476"/>
    <w:rsid w:val="00FB4696"/>
    <w:rsid w:val="00FC6031"/>
    <w:rsid w:val="00FC6DAE"/>
    <w:rsid w:val="00FC7724"/>
    <w:rsid w:val="00FD0E9C"/>
    <w:rsid w:val="00FD4C6E"/>
    <w:rsid w:val="00FD6056"/>
    <w:rsid w:val="00FD606B"/>
    <w:rsid w:val="00FE64F1"/>
    <w:rsid w:val="00FF332A"/>
    <w:rsid w:val="00FF525F"/>
    <w:rsid w:val="00FF7B20"/>
    <w:rsid w:val="00FF7B8F"/>
    <w:rsid w:val="0AB18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83696"/>
  <w15:docId w15:val="{85F499FA-CD08-407E-85C4-5C30EFAE4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5B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060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E54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4A3"/>
    <w:pPr>
      <w:ind w:left="720"/>
      <w:contextualSpacing/>
    </w:pPr>
  </w:style>
  <w:style w:type="character" w:customStyle="1" w:styleId="Heading1Char">
    <w:name w:val="Heading 1 Char"/>
    <w:basedOn w:val="DefaultParagraphFont"/>
    <w:link w:val="Heading1"/>
    <w:uiPriority w:val="9"/>
    <w:rsid w:val="000A5BDC"/>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55A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5A7E"/>
  </w:style>
  <w:style w:type="paragraph" w:styleId="Footer">
    <w:name w:val="footer"/>
    <w:basedOn w:val="Normal"/>
    <w:link w:val="FooterChar"/>
    <w:uiPriority w:val="99"/>
    <w:unhideWhenUsed/>
    <w:rsid w:val="00555A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5A7E"/>
  </w:style>
  <w:style w:type="character" w:customStyle="1" w:styleId="Heading2Char">
    <w:name w:val="Heading 2 Char"/>
    <w:basedOn w:val="DefaultParagraphFont"/>
    <w:link w:val="Heading2"/>
    <w:uiPriority w:val="9"/>
    <w:rsid w:val="00106069"/>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332D97"/>
    <w:pPr>
      <w:outlineLvl w:val="9"/>
    </w:pPr>
  </w:style>
  <w:style w:type="paragraph" w:styleId="TOC1">
    <w:name w:val="toc 1"/>
    <w:basedOn w:val="Normal"/>
    <w:next w:val="Normal"/>
    <w:autoRedefine/>
    <w:uiPriority w:val="39"/>
    <w:unhideWhenUsed/>
    <w:rsid w:val="00332D97"/>
    <w:pPr>
      <w:spacing w:after="100"/>
    </w:pPr>
  </w:style>
  <w:style w:type="paragraph" w:styleId="TOC2">
    <w:name w:val="toc 2"/>
    <w:basedOn w:val="Normal"/>
    <w:next w:val="Normal"/>
    <w:autoRedefine/>
    <w:uiPriority w:val="39"/>
    <w:unhideWhenUsed/>
    <w:rsid w:val="00332D97"/>
    <w:pPr>
      <w:spacing w:after="100"/>
      <w:ind w:left="220"/>
    </w:pPr>
  </w:style>
  <w:style w:type="character" w:styleId="Hyperlink">
    <w:name w:val="Hyperlink"/>
    <w:basedOn w:val="DefaultParagraphFont"/>
    <w:uiPriority w:val="99"/>
    <w:unhideWhenUsed/>
    <w:rsid w:val="00332D97"/>
    <w:rPr>
      <w:color w:val="0563C1" w:themeColor="hyperlink"/>
      <w:u w:val="single"/>
    </w:rPr>
  </w:style>
  <w:style w:type="character" w:customStyle="1" w:styleId="Heading3Char">
    <w:name w:val="Heading 3 Char"/>
    <w:basedOn w:val="DefaultParagraphFont"/>
    <w:link w:val="Heading3"/>
    <w:uiPriority w:val="9"/>
    <w:rsid w:val="00BE5457"/>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825D3"/>
    <w:pPr>
      <w:spacing w:after="100"/>
      <w:ind w:left="440"/>
    </w:pPr>
  </w:style>
  <w:style w:type="paragraph" w:styleId="FootnoteText">
    <w:name w:val="footnote text"/>
    <w:basedOn w:val="Normal"/>
    <w:link w:val="FootnoteTextChar"/>
    <w:uiPriority w:val="99"/>
    <w:semiHidden/>
    <w:unhideWhenUsed/>
    <w:rsid w:val="00D919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1931"/>
    <w:rPr>
      <w:sz w:val="20"/>
      <w:szCs w:val="20"/>
    </w:rPr>
  </w:style>
  <w:style w:type="character" w:styleId="FootnoteReference">
    <w:name w:val="footnote reference"/>
    <w:basedOn w:val="DefaultParagraphFont"/>
    <w:uiPriority w:val="99"/>
    <w:semiHidden/>
    <w:unhideWhenUsed/>
    <w:rsid w:val="00D91931"/>
    <w:rPr>
      <w:vertAlign w:val="superscript"/>
    </w:rPr>
  </w:style>
  <w:style w:type="paragraph" w:styleId="BalloonText">
    <w:name w:val="Balloon Text"/>
    <w:basedOn w:val="Normal"/>
    <w:link w:val="BalloonTextChar"/>
    <w:uiPriority w:val="99"/>
    <w:semiHidden/>
    <w:unhideWhenUsed/>
    <w:rsid w:val="00AB67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7A3"/>
    <w:rPr>
      <w:rFonts w:ascii="Segoe UI" w:hAnsi="Segoe UI" w:cs="Segoe UI"/>
      <w:sz w:val="18"/>
      <w:szCs w:val="18"/>
    </w:rPr>
  </w:style>
  <w:style w:type="character" w:styleId="CommentReference">
    <w:name w:val="annotation reference"/>
    <w:basedOn w:val="DefaultParagraphFont"/>
    <w:uiPriority w:val="99"/>
    <w:semiHidden/>
    <w:unhideWhenUsed/>
    <w:rsid w:val="00CC04F0"/>
    <w:rPr>
      <w:sz w:val="16"/>
      <w:szCs w:val="16"/>
    </w:rPr>
  </w:style>
  <w:style w:type="paragraph" w:styleId="CommentText">
    <w:name w:val="annotation text"/>
    <w:basedOn w:val="Normal"/>
    <w:link w:val="CommentTextChar"/>
    <w:uiPriority w:val="99"/>
    <w:semiHidden/>
    <w:unhideWhenUsed/>
    <w:rsid w:val="00CC04F0"/>
    <w:pPr>
      <w:spacing w:line="240" w:lineRule="auto"/>
    </w:pPr>
    <w:rPr>
      <w:sz w:val="20"/>
      <w:szCs w:val="20"/>
    </w:rPr>
  </w:style>
  <w:style w:type="character" w:customStyle="1" w:styleId="CommentTextChar">
    <w:name w:val="Comment Text Char"/>
    <w:basedOn w:val="DefaultParagraphFont"/>
    <w:link w:val="CommentText"/>
    <w:uiPriority w:val="99"/>
    <w:semiHidden/>
    <w:rsid w:val="00CC04F0"/>
    <w:rPr>
      <w:sz w:val="20"/>
      <w:szCs w:val="20"/>
    </w:rPr>
  </w:style>
  <w:style w:type="paragraph" w:styleId="CommentSubject">
    <w:name w:val="annotation subject"/>
    <w:basedOn w:val="CommentText"/>
    <w:next w:val="CommentText"/>
    <w:link w:val="CommentSubjectChar"/>
    <w:uiPriority w:val="99"/>
    <w:semiHidden/>
    <w:unhideWhenUsed/>
    <w:rsid w:val="00CC04F0"/>
    <w:rPr>
      <w:b/>
      <w:bCs/>
    </w:rPr>
  </w:style>
  <w:style w:type="character" w:customStyle="1" w:styleId="CommentSubjectChar">
    <w:name w:val="Comment Subject Char"/>
    <w:basedOn w:val="CommentTextChar"/>
    <w:link w:val="CommentSubject"/>
    <w:uiPriority w:val="99"/>
    <w:semiHidden/>
    <w:rsid w:val="00CC04F0"/>
    <w:rPr>
      <w:b/>
      <w:bCs/>
      <w:sz w:val="20"/>
      <w:szCs w:val="20"/>
    </w:rPr>
  </w:style>
  <w:style w:type="character" w:styleId="FollowedHyperlink">
    <w:name w:val="FollowedHyperlink"/>
    <w:basedOn w:val="DefaultParagraphFont"/>
    <w:uiPriority w:val="99"/>
    <w:semiHidden/>
    <w:unhideWhenUsed/>
    <w:rsid w:val="00D648D1"/>
    <w:rPr>
      <w:color w:val="954F72" w:themeColor="followedHyperlink"/>
      <w:u w:val="single"/>
    </w:rPr>
  </w:style>
  <w:style w:type="table" w:styleId="TableGrid">
    <w:name w:val="Table Grid"/>
    <w:basedOn w:val="TableNormal"/>
    <w:uiPriority w:val="39"/>
    <w:rsid w:val="00D7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402580">
      <w:bodyDiv w:val="1"/>
      <w:marLeft w:val="0"/>
      <w:marRight w:val="0"/>
      <w:marTop w:val="0"/>
      <w:marBottom w:val="0"/>
      <w:divBdr>
        <w:top w:val="none" w:sz="0" w:space="0" w:color="auto"/>
        <w:left w:val="none" w:sz="0" w:space="0" w:color="auto"/>
        <w:bottom w:val="none" w:sz="0" w:space="0" w:color="auto"/>
        <w:right w:val="none" w:sz="0" w:space="0" w:color="auto"/>
      </w:divBdr>
    </w:div>
    <w:div w:id="1066221443">
      <w:bodyDiv w:val="1"/>
      <w:marLeft w:val="0"/>
      <w:marRight w:val="0"/>
      <w:marTop w:val="0"/>
      <w:marBottom w:val="0"/>
      <w:divBdr>
        <w:top w:val="none" w:sz="0" w:space="0" w:color="auto"/>
        <w:left w:val="none" w:sz="0" w:space="0" w:color="auto"/>
        <w:bottom w:val="none" w:sz="0" w:space="0" w:color="auto"/>
        <w:right w:val="none" w:sz="0" w:space="0" w:color="auto"/>
      </w:divBdr>
    </w:div>
    <w:div w:id="1465393983">
      <w:bodyDiv w:val="1"/>
      <w:marLeft w:val="0"/>
      <w:marRight w:val="0"/>
      <w:marTop w:val="0"/>
      <w:marBottom w:val="0"/>
      <w:divBdr>
        <w:top w:val="none" w:sz="0" w:space="0" w:color="auto"/>
        <w:left w:val="none" w:sz="0" w:space="0" w:color="auto"/>
        <w:bottom w:val="none" w:sz="0" w:space="0" w:color="auto"/>
        <w:right w:val="none" w:sz="0" w:space="0" w:color="auto"/>
      </w:divBdr>
    </w:div>
    <w:div w:id="1603223468">
      <w:bodyDiv w:val="1"/>
      <w:marLeft w:val="0"/>
      <w:marRight w:val="0"/>
      <w:marTop w:val="0"/>
      <w:marBottom w:val="0"/>
      <w:divBdr>
        <w:top w:val="none" w:sz="0" w:space="0" w:color="auto"/>
        <w:left w:val="none" w:sz="0" w:space="0" w:color="auto"/>
        <w:bottom w:val="none" w:sz="0" w:space="0" w:color="auto"/>
        <w:right w:val="none" w:sz="0" w:space="0" w:color="auto"/>
      </w:divBdr>
    </w:div>
    <w:div w:id="2070959634">
      <w:bodyDiv w:val="1"/>
      <w:marLeft w:val="0"/>
      <w:marRight w:val="0"/>
      <w:marTop w:val="0"/>
      <w:marBottom w:val="0"/>
      <w:divBdr>
        <w:top w:val="none" w:sz="0" w:space="0" w:color="auto"/>
        <w:left w:val="none" w:sz="0" w:space="0" w:color="auto"/>
        <w:bottom w:val="none" w:sz="0" w:space="0" w:color="auto"/>
        <w:right w:val="none" w:sz="0" w:space="0" w:color="auto"/>
      </w:divBdr>
      <w:divsChild>
        <w:div w:id="364403170">
          <w:marLeft w:val="734"/>
          <w:marRight w:val="0"/>
          <w:marTop w:val="211"/>
          <w:marBottom w:val="0"/>
          <w:divBdr>
            <w:top w:val="none" w:sz="0" w:space="0" w:color="auto"/>
            <w:left w:val="none" w:sz="0" w:space="0" w:color="auto"/>
            <w:bottom w:val="none" w:sz="0" w:space="0" w:color="auto"/>
            <w:right w:val="none" w:sz="0" w:space="0" w:color="auto"/>
          </w:divBdr>
        </w:div>
        <w:div w:id="83303423">
          <w:marLeft w:val="734"/>
          <w:marRight w:val="0"/>
          <w:marTop w:val="86"/>
          <w:marBottom w:val="0"/>
          <w:divBdr>
            <w:top w:val="none" w:sz="0" w:space="0" w:color="auto"/>
            <w:left w:val="none" w:sz="0" w:space="0" w:color="auto"/>
            <w:bottom w:val="none" w:sz="0" w:space="0" w:color="auto"/>
            <w:right w:val="none" w:sz="0" w:space="0" w:color="auto"/>
          </w:divBdr>
        </w:div>
        <w:div w:id="2125346666">
          <w:marLeft w:val="1426"/>
          <w:marRight w:val="0"/>
          <w:marTop w:val="77"/>
          <w:marBottom w:val="0"/>
          <w:divBdr>
            <w:top w:val="none" w:sz="0" w:space="0" w:color="auto"/>
            <w:left w:val="none" w:sz="0" w:space="0" w:color="auto"/>
            <w:bottom w:val="none" w:sz="0" w:space="0" w:color="auto"/>
            <w:right w:val="none" w:sz="0" w:space="0" w:color="auto"/>
          </w:divBdr>
        </w:div>
        <w:div w:id="1840000453">
          <w:marLeft w:val="2059"/>
          <w:marRight w:val="0"/>
          <w:marTop w:val="67"/>
          <w:marBottom w:val="0"/>
          <w:divBdr>
            <w:top w:val="none" w:sz="0" w:space="0" w:color="auto"/>
            <w:left w:val="none" w:sz="0" w:space="0" w:color="auto"/>
            <w:bottom w:val="none" w:sz="0" w:space="0" w:color="auto"/>
            <w:right w:val="none" w:sz="0" w:space="0" w:color="auto"/>
          </w:divBdr>
        </w:div>
        <w:div w:id="612057430">
          <w:marLeft w:val="1426"/>
          <w:marRight w:val="0"/>
          <w:marTop w:val="77"/>
          <w:marBottom w:val="0"/>
          <w:divBdr>
            <w:top w:val="none" w:sz="0" w:space="0" w:color="auto"/>
            <w:left w:val="none" w:sz="0" w:space="0" w:color="auto"/>
            <w:bottom w:val="none" w:sz="0" w:space="0" w:color="auto"/>
            <w:right w:val="none" w:sz="0" w:space="0" w:color="auto"/>
          </w:divBdr>
        </w:div>
        <w:div w:id="1348949850">
          <w:marLeft w:val="734"/>
          <w:marRight w:val="0"/>
          <w:marTop w:val="86"/>
          <w:marBottom w:val="0"/>
          <w:divBdr>
            <w:top w:val="none" w:sz="0" w:space="0" w:color="auto"/>
            <w:left w:val="none" w:sz="0" w:space="0" w:color="auto"/>
            <w:bottom w:val="none" w:sz="0" w:space="0" w:color="auto"/>
            <w:right w:val="none" w:sz="0" w:space="0" w:color="auto"/>
          </w:divBdr>
        </w:div>
        <w:div w:id="1486123308">
          <w:marLeft w:val="1426"/>
          <w:marRight w:val="0"/>
          <w:marTop w:val="77"/>
          <w:marBottom w:val="0"/>
          <w:divBdr>
            <w:top w:val="none" w:sz="0" w:space="0" w:color="auto"/>
            <w:left w:val="none" w:sz="0" w:space="0" w:color="auto"/>
            <w:bottom w:val="none" w:sz="0" w:space="0" w:color="auto"/>
            <w:right w:val="none" w:sz="0" w:space="0" w:color="auto"/>
          </w:divBdr>
        </w:div>
        <w:div w:id="1006371275">
          <w:marLeft w:val="734"/>
          <w:marRight w:val="0"/>
          <w:marTop w:val="211"/>
          <w:marBottom w:val="0"/>
          <w:divBdr>
            <w:top w:val="none" w:sz="0" w:space="0" w:color="auto"/>
            <w:left w:val="none" w:sz="0" w:space="0" w:color="auto"/>
            <w:bottom w:val="none" w:sz="0" w:space="0" w:color="auto"/>
            <w:right w:val="none" w:sz="0" w:space="0" w:color="auto"/>
          </w:divBdr>
        </w:div>
        <w:div w:id="1320884226">
          <w:marLeft w:val="734"/>
          <w:marRight w:val="0"/>
          <w:marTop w:val="96"/>
          <w:marBottom w:val="0"/>
          <w:divBdr>
            <w:top w:val="none" w:sz="0" w:space="0" w:color="auto"/>
            <w:left w:val="none" w:sz="0" w:space="0" w:color="auto"/>
            <w:bottom w:val="none" w:sz="0" w:space="0" w:color="auto"/>
            <w:right w:val="none" w:sz="0" w:space="0" w:color="auto"/>
          </w:divBdr>
        </w:div>
        <w:div w:id="779421140">
          <w:marLeft w:val="1426"/>
          <w:marRight w:val="0"/>
          <w:marTop w:val="86"/>
          <w:marBottom w:val="0"/>
          <w:divBdr>
            <w:top w:val="none" w:sz="0" w:space="0" w:color="auto"/>
            <w:left w:val="none" w:sz="0" w:space="0" w:color="auto"/>
            <w:bottom w:val="none" w:sz="0" w:space="0" w:color="auto"/>
            <w:right w:val="none" w:sz="0" w:space="0" w:color="auto"/>
          </w:divBdr>
        </w:div>
        <w:div w:id="1302228733">
          <w:marLeft w:val="1426"/>
          <w:marRight w:val="0"/>
          <w:marTop w:val="86"/>
          <w:marBottom w:val="0"/>
          <w:divBdr>
            <w:top w:val="none" w:sz="0" w:space="0" w:color="auto"/>
            <w:left w:val="none" w:sz="0" w:space="0" w:color="auto"/>
            <w:bottom w:val="none" w:sz="0" w:space="0" w:color="auto"/>
            <w:right w:val="none" w:sz="0" w:space="0" w:color="auto"/>
          </w:divBdr>
        </w:div>
        <w:div w:id="1867671588">
          <w:marLeft w:val="1426"/>
          <w:marRight w:val="0"/>
          <w:marTop w:val="86"/>
          <w:marBottom w:val="0"/>
          <w:divBdr>
            <w:top w:val="none" w:sz="0" w:space="0" w:color="auto"/>
            <w:left w:val="none" w:sz="0" w:space="0" w:color="auto"/>
            <w:bottom w:val="none" w:sz="0" w:space="0" w:color="auto"/>
            <w:right w:val="none" w:sz="0" w:space="0" w:color="auto"/>
          </w:divBdr>
        </w:div>
        <w:div w:id="915088981">
          <w:marLeft w:val="1426"/>
          <w:marRight w:val="0"/>
          <w:marTop w:val="86"/>
          <w:marBottom w:val="0"/>
          <w:divBdr>
            <w:top w:val="none" w:sz="0" w:space="0" w:color="auto"/>
            <w:left w:val="none" w:sz="0" w:space="0" w:color="auto"/>
            <w:bottom w:val="none" w:sz="0" w:space="0" w:color="auto"/>
            <w:right w:val="none" w:sz="0" w:space="0" w:color="auto"/>
          </w:divBdr>
        </w:div>
        <w:div w:id="752167082">
          <w:marLeft w:val="734"/>
          <w:marRight w:val="0"/>
          <w:marTop w:val="96"/>
          <w:marBottom w:val="0"/>
          <w:divBdr>
            <w:top w:val="none" w:sz="0" w:space="0" w:color="auto"/>
            <w:left w:val="none" w:sz="0" w:space="0" w:color="auto"/>
            <w:bottom w:val="none" w:sz="0" w:space="0" w:color="auto"/>
            <w:right w:val="none" w:sz="0" w:space="0" w:color="auto"/>
          </w:divBdr>
        </w:div>
        <w:div w:id="2054768518">
          <w:marLeft w:val="1426"/>
          <w:marRight w:val="0"/>
          <w:marTop w:val="86"/>
          <w:marBottom w:val="0"/>
          <w:divBdr>
            <w:top w:val="none" w:sz="0" w:space="0" w:color="auto"/>
            <w:left w:val="none" w:sz="0" w:space="0" w:color="auto"/>
            <w:bottom w:val="none" w:sz="0" w:space="0" w:color="auto"/>
            <w:right w:val="none" w:sz="0" w:space="0" w:color="auto"/>
          </w:divBdr>
        </w:div>
        <w:div w:id="1886529002">
          <w:marLeft w:val="734"/>
          <w:marRight w:val="0"/>
          <w:marTop w:val="96"/>
          <w:marBottom w:val="0"/>
          <w:divBdr>
            <w:top w:val="none" w:sz="0" w:space="0" w:color="auto"/>
            <w:left w:val="none" w:sz="0" w:space="0" w:color="auto"/>
            <w:bottom w:val="none" w:sz="0" w:space="0" w:color="auto"/>
            <w:right w:val="none" w:sz="0" w:space="0" w:color="auto"/>
          </w:divBdr>
        </w:div>
        <w:div w:id="950743970">
          <w:marLeft w:val="734"/>
          <w:marRight w:val="0"/>
          <w:marTop w:val="96"/>
          <w:marBottom w:val="0"/>
          <w:divBdr>
            <w:top w:val="none" w:sz="0" w:space="0" w:color="auto"/>
            <w:left w:val="none" w:sz="0" w:space="0" w:color="auto"/>
            <w:bottom w:val="none" w:sz="0" w:space="0" w:color="auto"/>
            <w:right w:val="none" w:sz="0" w:space="0" w:color="auto"/>
          </w:divBdr>
        </w:div>
        <w:div w:id="1309826083">
          <w:marLeft w:val="734"/>
          <w:marRight w:val="0"/>
          <w:marTop w:val="192"/>
          <w:marBottom w:val="0"/>
          <w:divBdr>
            <w:top w:val="none" w:sz="0" w:space="0" w:color="auto"/>
            <w:left w:val="none" w:sz="0" w:space="0" w:color="auto"/>
            <w:bottom w:val="none" w:sz="0" w:space="0" w:color="auto"/>
            <w:right w:val="none" w:sz="0" w:space="0" w:color="auto"/>
          </w:divBdr>
        </w:div>
        <w:div w:id="862133109">
          <w:marLeft w:val="734"/>
          <w:marRight w:val="0"/>
          <w:marTop w:val="115"/>
          <w:marBottom w:val="0"/>
          <w:divBdr>
            <w:top w:val="none" w:sz="0" w:space="0" w:color="auto"/>
            <w:left w:val="none" w:sz="0" w:space="0" w:color="auto"/>
            <w:bottom w:val="none" w:sz="0" w:space="0" w:color="auto"/>
            <w:right w:val="none" w:sz="0" w:space="0" w:color="auto"/>
          </w:divBdr>
        </w:div>
        <w:div w:id="1151747445">
          <w:marLeft w:val="1426"/>
          <w:marRight w:val="0"/>
          <w:marTop w:val="96"/>
          <w:marBottom w:val="0"/>
          <w:divBdr>
            <w:top w:val="none" w:sz="0" w:space="0" w:color="auto"/>
            <w:left w:val="none" w:sz="0" w:space="0" w:color="auto"/>
            <w:bottom w:val="none" w:sz="0" w:space="0" w:color="auto"/>
            <w:right w:val="none" w:sz="0" w:space="0" w:color="auto"/>
          </w:divBdr>
        </w:div>
        <w:div w:id="1406799331">
          <w:marLeft w:val="1426"/>
          <w:marRight w:val="0"/>
          <w:marTop w:val="96"/>
          <w:marBottom w:val="0"/>
          <w:divBdr>
            <w:top w:val="none" w:sz="0" w:space="0" w:color="auto"/>
            <w:left w:val="none" w:sz="0" w:space="0" w:color="auto"/>
            <w:bottom w:val="none" w:sz="0" w:space="0" w:color="auto"/>
            <w:right w:val="none" w:sz="0" w:space="0" w:color="auto"/>
          </w:divBdr>
        </w:div>
        <w:div w:id="689987117">
          <w:marLeft w:val="1426"/>
          <w:marRight w:val="0"/>
          <w:marTop w:val="96"/>
          <w:marBottom w:val="0"/>
          <w:divBdr>
            <w:top w:val="none" w:sz="0" w:space="0" w:color="auto"/>
            <w:left w:val="none" w:sz="0" w:space="0" w:color="auto"/>
            <w:bottom w:val="none" w:sz="0" w:space="0" w:color="auto"/>
            <w:right w:val="none" w:sz="0" w:space="0" w:color="auto"/>
          </w:divBdr>
        </w:div>
        <w:div w:id="58872152">
          <w:marLeft w:val="1426"/>
          <w:marRight w:val="0"/>
          <w:marTop w:val="96"/>
          <w:marBottom w:val="0"/>
          <w:divBdr>
            <w:top w:val="none" w:sz="0" w:space="0" w:color="auto"/>
            <w:left w:val="none" w:sz="0" w:space="0" w:color="auto"/>
            <w:bottom w:val="none" w:sz="0" w:space="0" w:color="auto"/>
            <w:right w:val="none" w:sz="0" w:space="0" w:color="auto"/>
          </w:divBdr>
        </w:div>
        <w:div w:id="439178439">
          <w:marLeft w:val="734"/>
          <w:marRight w:val="0"/>
          <w:marTop w:val="115"/>
          <w:marBottom w:val="0"/>
          <w:divBdr>
            <w:top w:val="none" w:sz="0" w:space="0" w:color="auto"/>
            <w:left w:val="none" w:sz="0" w:space="0" w:color="auto"/>
            <w:bottom w:val="none" w:sz="0" w:space="0" w:color="auto"/>
            <w:right w:val="none" w:sz="0" w:space="0" w:color="auto"/>
          </w:divBdr>
        </w:div>
        <w:div w:id="296298417">
          <w:marLeft w:val="734"/>
          <w:marRight w:val="0"/>
          <w:marTop w:val="115"/>
          <w:marBottom w:val="0"/>
          <w:divBdr>
            <w:top w:val="none" w:sz="0" w:space="0" w:color="auto"/>
            <w:left w:val="none" w:sz="0" w:space="0" w:color="auto"/>
            <w:bottom w:val="none" w:sz="0" w:space="0" w:color="auto"/>
            <w:right w:val="none" w:sz="0" w:space="0" w:color="auto"/>
          </w:divBdr>
        </w:div>
        <w:div w:id="309410221">
          <w:marLeft w:val="734"/>
          <w:marRight w:val="0"/>
          <w:marTop w:val="144"/>
          <w:marBottom w:val="0"/>
          <w:divBdr>
            <w:top w:val="none" w:sz="0" w:space="0" w:color="auto"/>
            <w:left w:val="none" w:sz="0" w:space="0" w:color="auto"/>
            <w:bottom w:val="none" w:sz="0" w:space="0" w:color="auto"/>
            <w:right w:val="none" w:sz="0" w:space="0" w:color="auto"/>
          </w:divBdr>
        </w:div>
        <w:div w:id="87310716">
          <w:marLeft w:val="734"/>
          <w:marRight w:val="0"/>
          <w:marTop w:val="154"/>
          <w:marBottom w:val="0"/>
          <w:divBdr>
            <w:top w:val="none" w:sz="0" w:space="0" w:color="auto"/>
            <w:left w:val="none" w:sz="0" w:space="0" w:color="auto"/>
            <w:bottom w:val="none" w:sz="0" w:space="0" w:color="auto"/>
            <w:right w:val="none" w:sz="0" w:space="0" w:color="auto"/>
          </w:divBdr>
        </w:div>
        <w:div w:id="1315140317">
          <w:marLeft w:val="734"/>
          <w:marRight w:val="0"/>
          <w:marTop w:val="115"/>
          <w:marBottom w:val="0"/>
          <w:divBdr>
            <w:top w:val="none" w:sz="0" w:space="0" w:color="auto"/>
            <w:left w:val="none" w:sz="0" w:space="0" w:color="auto"/>
            <w:bottom w:val="none" w:sz="0" w:space="0" w:color="auto"/>
            <w:right w:val="none" w:sz="0" w:space="0" w:color="auto"/>
          </w:divBdr>
        </w:div>
        <w:div w:id="881750247">
          <w:marLeft w:val="734"/>
          <w:marRight w:val="0"/>
          <w:marTop w:val="115"/>
          <w:marBottom w:val="0"/>
          <w:divBdr>
            <w:top w:val="none" w:sz="0" w:space="0" w:color="auto"/>
            <w:left w:val="none" w:sz="0" w:space="0" w:color="auto"/>
            <w:bottom w:val="none" w:sz="0" w:space="0" w:color="auto"/>
            <w:right w:val="none" w:sz="0" w:space="0" w:color="auto"/>
          </w:divBdr>
        </w:div>
        <w:div w:id="1918828556">
          <w:marLeft w:val="1426"/>
          <w:marRight w:val="0"/>
          <w:marTop w:val="96"/>
          <w:marBottom w:val="0"/>
          <w:divBdr>
            <w:top w:val="none" w:sz="0" w:space="0" w:color="auto"/>
            <w:left w:val="none" w:sz="0" w:space="0" w:color="auto"/>
            <w:bottom w:val="none" w:sz="0" w:space="0" w:color="auto"/>
            <w:right w:val="none" w:sz="0" w:space="0" w:color="auto"/>
          </w:divBdr>
        </w:div>
        <w:div w:id="1212688880">
          <w:marLeft w:val="734"/>
          <w:marRight w:val="0"/>
          <w:marTop w:val="115"/>
          <w:marBottom w:val="0"/>
          <w:divBdr>
            <w:top w:val="none" w:sz="0" w:space="0" w:color="auto"/>
            <w:left w:val="none" w:sz="0" w:space="0" w:color="auto"/>
            <w:bottom w:val="none" w:sz="0" w:space="0" w:color="auto"/>
            <w:right w:val="none" w:sz="0" w:space="0" w:color="auto"/>
          </w:divBdr>
        </w:div>
        <w:div w:id="497162605">
          <w:marLeft w:val="1426"/>
          <w:marRight w:val="0"/>
          <w:marTop w:val="96"/>
          <w:marBottom w:val="0"/>
          <w:divBdr>
            <w:top w:val="none" w:sz="0" w:space="0" w:color="auto"/>
            <w:left w:val="none" w:sz="0" w:space="0" w:color="auto"/>
            <w:bottom w:val="none" w:sz="0" w:space="0" w:color="auto"/>
            <w:right w:val="none" w:sz="0" w:space="0" w:color="auto"/>
          </w:divBdr>
        </w:div>
        <w:div w:id="484660348">
          <w:marLeft w:val="734"/>
          <w:marRight w:val="0"/>
          <w:marTop w:val="115"/>
          <w:marBottom w:val="0"/>
          <w:divBdr>
            <w:top w:val="none" w:sz="0" w:space="0" w:color="auto"/>
            <w:left w:val="none" w:sz="0" w:space="0" w:color="auto"/>
            <w:bottom w:val="none" w:sz="0" w:space="0" w:color="auto"/>
            <w:right w:val="none" w:sz="0" w:space="0" w:color="auto"/>
          </w:divBdr>
        </w:div>
        <w:div w:id="892083092">
          <w:marLeft w:val="1426"/>
          <w:marRight w:val="0"/>
          <w:marTop w:val="96"/>
          <w:marBottom w:val="0"/>
          <w:divBdr>
            <w:top w:val="none" w:sz="0" w:space="0" w:color="auto"/>
            <w:left w:val="none" w:sz="0" w:space="0" w:color="auto"/>
            <w:bottom w:val="none" w:sz="0" w:space="0" w:color="auto"/>
            <w:right w:val="none" w:sz="0" w:space="0" w:color="auto"/>
          </w:divBdr>
        </w:div>
        <w:div w:id="293490115">
          <w:marLeft w:val="734"/>
          <w:marRight w:val="0"/>
          <w:marTop w:val="115"/>
          <w:marBottom w:val="0"/>
          <w:divBdr>
            <w:top w:val="none" w:sz="0" w:space="0" w:color="auto"/>
            <w:left w:val="none" w:sz="0" w:space="0" w:color="auto"/>
            <w:bottom w:val="none" w:sz="0" w:space="0" w:color="auto"/>
            <w:right w:val="none" w:sz="0" w:space="0" w:color="auto"/>
          </w:divBdr>
        </w:div>
        <w:div w:id="947276643">
          <w:marLeft w:val="734"/>
          <w:marRight w:val="0"/>
          <w:marTop w:val="134"/>
          <w:marBottom w:val="0"/>
          <w:divBdr>
            <w:top w:val="none" w:sz="0" w:space="0" w:color="auto"/>
            <w:left w:val="none" w:sz="0" w:space="0" w:color="auto"/>
            <w:bottom w:val="none" w:sz="0" w:space="0" w:color="auto"/>
            <w:right w:val="none" w:sz="0" w:space="0" w:color="auto"/>
          </w:divBdr>
        </w:div>
        <w:div w:id="1079642334">
          <w:marLeft w:val="734"/>
          <w:marRight w:val="0"/>
          <w:marTop w:val="115"/>
          <w:marBottom w:val="0"/>
          <w:divBdr>
            <w:top w:val="none" w:sz="0" w:space="0" w:color="auto"/>
            <w:left w:val="none" w:sz="0" w:space="0" w:color="auto"/>
            <w:bottom w:val="none" w:sz="0" w:space="0" w:color="auto"/>
            <w:right w:val="none" w:sz="0" w:space="0" w:color="auto"/>
          </w:divBdr>
        </w:div>
        <w:div w:id="990407507">
          <w:marLeft w:val="734"/>
          <w:marRight w:val="0"/>
          <w:marTop w:val="115"/>
          <w:marBottom w:val="0"/>
          <w:divBdr>
            <w:top w:val="none" w:sz="0" w:space="0" w:color="auto"/>
            <w:left w:val="none" w:sz="0" w:space="0" w:color="auto"/>
            <w:bottom w:val="none" w:sz="0" w:space="0" w:color="auto"/>
            <w:right w:val="none" w:sz="0" w:space="0" w:color="auto"/>
          </w:divBdr>
        </w:div>
        <w:div w:id="1756126677">
          <w:marLeft w:val="1426"/>
          <w:marRight w:val="0"/>
          <w:marTop w:val="96"/>
          <w:marBottom w:val="0"/>
          <w:divBdr>
            <w:top w:val="none" w:sz="0" w:space="0" w:color="auto"/>
            <w:left w:val="none" w:sz="0" w:space="0" w:color="auto"/>
            <w:bottom w:val="none" w:sz="0" w:space="0" w:color="auto"/>
            <w:right w:val="none" w:sz="0" w:space="0" w:color="auto"/>
          </w:divBdr>
        </w:div>
        <w:div w:id="1762333679">
          <w:marLeft w:val="734"/>
          <w:marRight w:val="0"/>
          <w:marTop w:val="115"/>
          <w:marBottom w:val="0"/>
          <w:divBdr>
            <w:top w:val="none" w:sz="0" w:space="0" w:color="auto"/>
            <w:left w:val="none" w:sz="0" w:space="0" w:color="auto"/>
            <w:bottom w:val="none" w:sz="0" w:space="0" w:color="auto"/>
            <w:right w:val="none" w:sz="0" w:space="0" w:color="auto"/>
          </w:divBdr>
        </w:div>
        <w:div w:id="394593785">
          <w:marLeft w:val="1426"/>
          <w:marRight w:val="0"/>
          <w:marTop w:val="96"/>
          <w:marBottom w:val="0"/>
          <w:divBdr>
            <w:top w:val="none" w:sz="0" w:space="0" w:color="auto"/>
            <w:left w:val="none" w:sz="0" w:space="0" w:color="auto"/>
            <w:bottom w:val="none" w:sz="0" w:space="0" w:color="auto"/>
            <w:right w:val="none" w:sz="0" w:space="0" w:color="auto"/>
          </w:divBdr>
        </w:div>
        <w:div w:id="1041788928">
          <w:marLeft w:val="734"/>
          <w:marRight w:val="0"/>
          <w:marTop w:val="115"/>
          <w:marBottom w:val="0"/>
          <w:divBdr>
            <w:top w:val="none" w:sz="0" w:space="0" w:color="auto"/>
            <w:left w:val="none" w:sz="0" w:space="0" w:color="auto"/>
            <w:bottom w:val="none" w:sz="0" w:space="0" w:color="auto"/>
            <w:right w:val="none" w:sz="0" w:space="0" w:color="auto"/>
          </w:divBdr>
        </w:div>
        <w:div w:id="343828963">
          <w:marLeft w:val="1426"/>
          <w:marRight w:val="0"/>
          <w:marTop w:val="96"/>
          <w:marBottom w:val="0"/>
          <w:divBdr>
            <w:top w:val="none" w:sz="0" w:space="0" w:color="auto"/>
            <w:left w:val="none" w:sz="0" w:space="0" w:color="auto"/>
            <w:bottom w:val="none" w:sz="0" w:space="0" w:color="auto"/>
            <w:right w:val="none" w:sz="0" w:space="0" w:color="auto"/>
          </w:divBdr>
        </w:div>
        <w:div w:id="1198271472">
          <w:marLeft w:val="734"/>
          <w:marRight w:val="0"/>
          <w:marTop w:val="115"/>
          <w:marBottom w:val="0"/>
          <w:divBdr>
            <w:top w:val="none" w:sz="0" w:space="0" w:color="auto"/>
            <w:left w:val="none" w:sz="0" w:space="0" w:color="auto"/>
            <w:bottom w:val="none" w:sz="0" w:space="0" w:color="auto"/>
            <w:right w:val="none" w:sz="0" w:space="0" w:color="auto"/>
          </w:divBdr>
        </w:div>
        <w:div w:id="1222522699">
          <w:marLeft w:val="734"/>
          <w:marRight w:val="0"/>
          <w:marTop w:val="154"/>
          <w:marBottom w:val="0"/>
          <w:divBdr>
            <w:top w:val="none" w:sz="0" w:space="0" w:color="auto"/>
            <w:left w:val="none" w:sz="0" w:space="0" w:color="auto"/>
            <w:bottom w:val="none" w:sz="0" w:space="0" w:color="auto"/>
            <w:right w:val="none" w:sz="0" w:space="0" w:color="auto"/>
          </w:divBdr>
        </w:div>
        <w:div w:id="829520809">
          <w:marLeft w:val="734"/>
          <w:marRight w:val="0"/>
          <w:marTop w:val="115"/>
          <w:marBottom w:val="0"/>
          <w:divBdr>
            <w:top w:val="none" w:sz="0" w:space="0" w:color="auto"/>
            <w:left w:val="none" w:sz="0" w:space="0" w:color="auto"/>
            <w:bottom w:val="none" w:sz="0" w:space="0" w:color="auto"/>
            <w:right w:val="none" w:sz="0" w:space="0" w:color="auto"/>
          </w:divBdr>
        </w:div>
        <w:div w:id="1200777505">
          <w:marLeft w:val="734"/>
          <w:marRight w:val="0"/>
          <w:marTop w:val="115"/>
          <w:marBottom w:val="0"/>
          <w:divBdr>
            <w:top w:val="none" w:sz="0" w:space="0" w:color="auto"/>
            <w:left w:val="none" w:sz="0" w:space="0" w:color="auto"/>
            <w:bottom w:val="none" w:sz="0" w:space="0" w:color="auto"/>
            <w:right w:val="none" w:sz="0" w:space="0" w:color="auto"/>
          </w:divBdr>
        </w:div>
        <w:div w:id="792407889">
          <w:marLeft w:val="1426"/>
          <w:marRight w:val="0"/>
          <w:marTop w:val="96"/>
          <w:marBottom w:val="0"/>
          <w:divBdr>
            <w:top w:val="none" w:sz="0" w:space="0" w:color="auto"/>
            <w:left w:val="none" w:sz="0" w:space="0" w:color="auto"/>
            <w:bottom w:val="none" w:sz="0" w:space="0" w:color="auto"/>
            <w:right w:val="none" w:sz="0" w:space="0" w:color="auto"/>
          </w:divBdr>
        </w:div>
        <w:div w:id="148524550">
          <w:marLeft w:val="734"/>
          <w:marRight w:val="0"/>
          <w:marTop w:val="115"/>
          <w:marBottom w:val="0"/>
          <w:divBdr>
            <w:top w:val="none" w:sz="0" w:space="0" w:color="auto"/>
            <w:left w:val="none" w:sz="0" w:space="0" w:color="auto"/>
            <w:bottom w:val="none" w:sz="0" w:space="0" w:color="auto"/>
            <w:right w:val="none" w:sz="0" w:space="0" w:color="auto"/>
          </w:divBdr>
        </w:div>
        <w:div w:id="1369379963">
          <w:marLeft w:val="1426"/>
          <w:marRight w:val="0"/>
          <w:marTop w:val="96"/>
          <w:marBottom w:val="0"/>
          <w:divBdr>
            <w:top w:val="none" w:sz="0" w:space="0" w:color="auto"/>
            <w:left w:val="none" w:sz="0" w:space="0" w:color="auto"/>
            <w:bottom w:val="none" w:sz="0" w:space="0" w:color="auto"/>
            <w:right w:val="none" w:sz="0" w:space="0" w:color="auto"/>
          </w:divBdr>
        </w:div>
        <w:div w:id="1546527097">
          <w:marLeft w:val="734"/>
          <w:marRight w:val="0"/>
          <w:marTop w:val="115"/>
          <w:marBottom w:val="0"/>
          <w:divBdr>
            <w:top w:val="none" w:sz="0" w:space="0" w:color="auto"/>
            <w:left w:val="none" w:sz="0" w:space="0" w:color="auto"/>
            <w:bottom w:val="none" w:sz="0" w:space="0" w:color="auto"/>
            <w:right w:val="none" w:sz="0" w:space="0" w:color="auto"/>
          </w:divBdr>
        </w:div>
        <w:div w:id="2034919504">
          <w:marLeft w:val="1426"/>
          <w:marRight w:val="0"/>
          <w:marTop w:val="96"/>
          <w:marBottom w:val="0"/>
          <w:divBdr>
            <w:top w:val="none" w:sz="0" w:space="0" w:color="auto"/>
            <w:left w:val="none" w:sz="0" w:space="0" w:color="auto"/>
            <w:bottom w:val="none" w:sz="0" w:space="0" w:color="auto"/>
            <w:right w:val="none" w:sz="0" w:space="0" w:color="auto"/>
          </w:divBdr>
        </w:div>
        <w:div w:id="988825861">
          <w:marLeft w:val="734"/>
          <w:marRight w:val="0"/>
          <w:marTop w:val="115"/>
          <w:marBottom w:val="0"/>
          <w:divBdr>
            <w:top w:val="none" w:sz="0" w:space="0" w:color="auto"/>
            <w:left w:val="none" w:sz="0" w:space="0" w:color="auto"/>
            <w:bottom w:val="none" w:sz="0" w:space="0" w:color="auto"/>
            <w:right w:val="none" w:sz="0" w:space="0" w:color="auto"/>
          </w:divBdr>
        </w:div>
        <w:div w:id="596913190">
          <w:marLeft w:val="734"/>
          <w:marRight w:val="0"/>
          <w:marTop w:val="154"/>
          <w:marBottom w:val="0"/>
          <w:divBdr>
            <w:top w:val="none" w:sz="0" w:space="0" w:color="auto"/>
            <w:left w:val="none" w:sz="0" w:space="0" w:color="auto"/>
            <w:bottom w:val="none" w:sz="0" w:space="0" w:color="auto"/>
            <w:right w:val="none" w:sz="0" w:space="0" w:color="auto"/>
          </w:divBdr>
        </w:div>
        <w:div w:id="1746103740">
          <w:marLeft w:val="734"/>
          <w:marRight w:val="0"/>
          <w:marTop w:val="115"/>
          <w:marBottom w:val="0"/>
          <w:divBdr>
            <w:top w:val="none" w:sz="0" w:space="0" w:color="auto"/>
            <w:left w:val="none" w:sz="0" w:space="0" w:color="auto"/>
            <w:bottom w:val="none" w:sz="0" w:space="0" w:color="auto"/>
            <w:right w:val="none" w:sz="0" w:space="0" w:color="auto"/>
          </w:divBdr>
        </w:div>
        <w:div w:id="1342590441">
          <w:marLeft w:val="734"/>
          <w:marRight w:val="0"/>
          <w:marTop w:val="115"/>
          <w:marBottom w:val="0"/>
          <w:divBdr>
            <w:top w:val="none" w:sz="0" w:space="0" w:color="auto"/>
            <w:left w:val="none" w:sz="0" w:space="0" w:color="auto"/>
            <w:bottom w:val="none" w:sz="0" w:space="0" w:color="auto"/>
            <w:right w:val="none" w:sz="0" w:space="0" w:color="auto"/>
          </w:divBdr>
        </w:div>
        <w:div w:id="1354719941">
          <w:marLeft w:val="1426"/>
          <w:marRight w:val="0"/>
          <w:marTop w:val="96"/>
          <w:marBottom w:val="0"/>
          <w:divBdr>
            <w:top w:val="none" w:sz="0" w:space="0" w:color="auto"/>
            <w:left w:val="none" w:sz="0" w:space="0" w:color="auto"/>
            <w:bottom w:val="none" w:sz="0" w:space="0" w:color="auto"/>
            <w:right w:val="none" w:sz="0" w:space="0" w:color="auto"/>
          </w:divBdr>
        </w:div>
        <w:div w:id="1029643714">
          <w:marLeft w:val="734"/>
          <w:marRight w:val="0"/>
          <w:marTop w:val="115"/>
          <w:marBottom w:val="0"/>
          <w:divBdr>
            <w:top w:val="none" w:sz="0" w:space="0" w:color="auto"/>
            <w:left w:val="none" w:sz="0" w:space="0" w:color="auto"/>
            <w:bottom w:val="none" w:sz="0" w:space="0" w:color="auto"/>
            <w:right w:val="none" w:sz="0" w:space="0" w:color="auto"/>
          </w:divBdr>
        </w:div>
        <w:div w:id="2111465748">
          <w:marLeft w:val="1426"/>
          <w:marRight w:val="0"/>
          <w:marTop w:val="96"/>
          <w:marBottom w:val="0"/>
          <w:divBdr>
            <w:top w:val="none" w:sz="0" w:space="0" w:color="auto"/>
            <w:left w:val="none" w:sz="0" w:space="0" w:color="auto"/>
            <w:bottom w:val="none" w:sz="0" w:space="0" w:color="auto"/>
            <w:right w:val="none" w:sz="0" w:space="0" w:color="auto"/>
          </w:divBdr>
        </w:div>
        <w:div w:id="899826468">
          <w:marLeft w:val="734"/>
          <w:marRight w:val="0"/>
          <w:marTop w:val="115"/>
          <w:marBottom w:val="0"/>
          <w:divBdr>
            <w:top w:val="none" w:sz="0" w:space="0" w:color="auto"/>
            <w:left w:val="none" w:sz="0" w:space="0" w:color="auto"/>
            <w:bottom w:val="none" w:sz="0" w:space="0" w:color="auto"/>
            <w:right w:val="none" w:sz="0" w:space="0" w:color="auto"/>
          </w:divBdr>
        </w:div>
        <w:div w:id="885608872">
          <w:marLeft w:val="1426"/>
          <w:marRight w:val="0"/>
          <w:marTop w:val="96"/>
          <w:marBottom w:val="0"/>
          <w:divBdr>
            <w:top w:val="none" w:sz="0" w:space="0" w:color="auto"/>
            <w:left w:val="none" w:sz="0" w:space="0" w:color="auto"/>
            <w:bottom w:val="none" w:sz="0" w:space="0" w:color="auto"/>
            <w:right w:val="none" w:sz="0" w:space="0" w:color="auto"/>
          </w:divBdr>
        </w:div>
        <w:div w:id="998654391">
          <w:marLeft w:val="734"/>
          <w:marRight w:val="0"/>
          <w:marTop w:val="115"/>
          <w:marBottom w:val="0"/>
          <w:divBdr>
            <w:top w:val="none" w:sz="0" w:space="0" w:color="auto"/>
            <w:left w:val="none" w:sz="0" w:space="0" w:color="auto"/>
            <w:bottom w:val="none" w:sz="0" w:space="0" w:color="auto"/>
            <w:right w:val="none" w:sz="0" w:space="0" w:color="auto"/>
          </w:divBdr>
        </w:div>
        <w:div w:id="1843163192">
          <w:marLeft w:val="734"/>
          <w:marRight w:val="0"/>
          <w:marTop w:val="134"/>
          <w:marBottom w:val="0"/>
          <w:divBdr>
            <w:top w:val="none" w:sz="0" w:space="0" w:color="auto"/>
            <w:left w:val="none" w:sz="0" w:space="0" w:color="auto"/>
            <w:bottom w:val="none" w:sz="0" w:space="0" w:color="auto"/>
            <w:right w:val="none" w:sz="0" w:space="0" w:color="auto"/>
          </w:divBdr>
        </w:div>
        <w:div w:id="460466098">
          <w:marLeft w:val="734"/>
          <w:marRight w:val="0"/>
          <w:marTop w:val="115"/>
          <w:marBottom w:val="0"/>
          <w:divBdr>
            <w:top w:val="none" w:sz="0" w:space="0" w:color="auto"/>
            <w:left w:val="none" w:sz="0" w:space="0" w:color="auto"/>
            <w:bottom w:val="none" w:sz="0" w:space="0" w:color="auto"/>
            <w:right w:val="none" w:sz="0" w:space="0" w:color="auto"/>
          </w:divBdr>
        </w:div>
        <w:div w:id="29571656">
          <w:marLeft w:val="734"/>
          <w:marRight w:val="0"/>
          <w:marTop w:val="115"/>
          <w:marBottom w:val="0"/>
          <w:divBdr>
            <w:top w:val="none" w:sz="0" w:space="0" w:color="auto"/>
            <w:left w:val="none" w:sz="0" w:space="0" w:color="auto"/>
            <w:bottom w:val="none" w:sz="0" w:space="0" w:color="auto"/>
            <w:right w:val="none" w:sz="0" w:space="0" w:color="auto"/>
          </w:divBdr>
        </w:div>
        <w:div w:id="7752433">
          <w:marLeft w:val="1426"/>
          <w:marRight w:val="0"/>
          <w:marTop w:val="96"/>
          <w:marBottom w:val="0"/>
          <w:divBdr>
            <w:top w:val="none" w:sz="0" w:space="0" w:color="auto"/>
            <w:left w:val="none" w:sz="0" w:space="0" w:color="auto"/>
            <w:bottom w:val="none" w:sz="0" w:space="0" w:color="auto"/>
            <w:right w:val="none" w:sz="0" w:space="0" w:color="auto"/>
          </w:divBdr>
        </w:div>
        <w:div w:id="2088073253">
          <w:marLeft w:val="734"/>
          <w:marRight w:val="0"/>
          <w:marTop w:val="115"/>
          <w:marBottom w:val="0"/>
          <w:divBdr>
            <w:top w:val="none" w:sz="0" w:space="0" w:color="auto"/>
            <w:left w:val="none" w:sz="0" w:space="0" w:color="auto"/>
            <w:bottom w:val="none" w:sz="0" w:space="0" w:color="auto"/>
            <w:right w:val="none" w:sz="0" w:space="0" w:color="auto"/>
          </w:divBdr>
        </w:div>
        <w:div w:id="2084184744">
          <w:marLeft w:val="1426"/>
          <w:marRight w:val="0"/>
          <w:marTop w:val="96"/>
          <w:marBottom w:val="0"/>
          <w:divBdr>
            <w:top w:val="none" w:sz="0" w:space="0" w:color="auto"/>
            <w:left w:val="none" w:sz="0" w:space="0" w:color="auto"/>
            <w:bottom w:val="none" w:sz="0" w:space="0" w:color="auto"/>
            <w:right w:val="none" w:sz="0" w:space="0" w:color="auto"/>
          </w:divBdr>
        </w:div>
        <w:div w:id="1905602286">
          <w:marLeft w:val="734"/>
          <w:marRight w:val="0"/>
          <w:marTop w:val="115"/>
          <w:marBottom w:val="0"/>
          <w:divBdr>
            <w:top w:val="none" w:sz="0" w:space="0" w:color="auto"/>
            <w:left w:val="none" w:sz="0" w:space="0" w:color="auto"/>
            <w:bottom w:val="none" w:sz="0" w:space="0" w:color="auto"/>
            <w:right w:val="none" w:sz="0" w:space="0" w:color="auto"/>
          </w:divBdr>
        </w:div>
        <w:div w:id="4551950">
          <w:marLeft w:val="1426"/>
          <w:marRight w:val="0"/>
          <w:marTop w:val="96"/>
          <w:marBottom w:val="0"/>
          <w:divBdr>
            <w:top w:val="none" w:sz="0" w:space="0" w:color="auto"/>
            <w:left w:val="none" w:sz="0" w:space="0" w:color="auto"/>
            <w:bottom w:val="none" w:sz="0" w:space="0" w:color="auto"/>
            <w:right w:val="none" w:sz="0" w:space="0" w:color="auto"/>
          </w:divBdr>
        </w:div>
        <w:div w:id="355036492">
          <w:marLeft w:val="734"/>
          <w:marRight w:val="0"/>
          <w:marTop w:val="115"/>
          <w:marBottom w:val="0"/>
          <w:divBdr>
            <w:top w:val="none" w:sz="0" w:space="0" w:color="auto"/>
            <w:left w:val="none" w:sz="0" w:space="0" w:color="auto"/>
            <w:bottom w:val="none" w:sz="0" w:space="0" w:color="auto"/>
            <w:right w:val="none" w:sz="0" w:space="0" w:color="auto"/>
          </w:divBdr>
        </w:div>
        <w:div w:id="1173956502">
          <w:marLeft w:val="734"/>
          <w:marRight w:val="0"/>
          <w:marTop w:val="134"/>
          <w:marBottom w:val="0"/>
          <w:divBdr>
            <w:top w:val="none" w:sz="0" w:space="0" w:color="auto"/>
            <w:left w:val="none" w:sz="0" w:space="0" w:color="auto"/>
            <w:bottom w:val="none" w:sz="0" w:space="0" w:color="auto"/>
            <w:right w:val="none" w:sz="0" w:space="0" w:color="auto"/>
          </w:divBdr>
        </w:div>
        <w:div w:id="1430656097">
          <w:marLeft w:val="734"/>
          <w:marRight w:val="0"/>
          <w:marTop w:val="115"/>
          <w:marBottom w:val="0"/>
          <w:divBdr>
            <w:top w:val="none" w:sz="0" w:space="0" w:color="auto"/>
            <w:left w:val="none" w:sz="0" w:space="0" w:color="auto"/>
            <w:bottom w:val="none" w:sz="0" w:space="0" w:color="auto"/>
            <w:right w:val="none" w:sz="0" w:space="0" w:color="auto"/>
          </w:divBdr>
        </w:div>
        <w:div w:id="1810398260">
          <w:marLeft w:val="734"/>
          <w:marRight w:val="0"/>
          <w:marTop w:val="115"/>
          <w:marBottom w:val="0"/>
          <w:divBdr>
            <w:top w:val="none" w:sz="0" w:space="0" w:color="auto"/>
            <w:left w:val="none" w:sz="0" w:space="0" w:color="auto"/>
            <w:bottom w:val="none" w:sz="0" w:space="0" w:color="auto"/>
            <w:right w:val="none" w:sz="0" w:space="0" w:color="auto"/>
          </w:divBdr>
        </w:div>
        <w:div w:id="970137037">
          <w:marLeft w:val="1426"/>
          <w:marRight w:val="0"/>
          <w:marTop w:val="96"/>
          <w:marBottom w:val="0"/>
          <w:divBdr>
            <w:top w:val="none" w:sz="0" w:space="0" w:color="auto"/>
            <w:left w:val="none" w:sz="0" w:space="0" w:color="auto"/>
            <w:bottom w:val="none" w:sz="0" w:space="0" w:color="auto"/>
            <w:right w:val="none" w:sz="0" w:space="0" w:color="auto"/>
          </w:divBdr>
        </w:div>
        <w:div w:id="1509830437">
          <w:marLeft w:val="734"/>
          <w:marRight w:val="0"/>
          <w:marTop w:val="115"/>
          <w:marBottom w:val="0"/>
          <w:divBdr>
            <w:top w:val="none" w:sz="0" w:space="0" w:color="auto"/>
            <w:left w:val="none" w:sz="0" w:space="0" w:color="auto"/>
            <w:bottom w:val="none" w:sz="0" w:space="0" w:color="auto"/>
            <w:right w:val="none" w:sz="0" w:space="0" w:color="auto"/>
          </w:divBdr>
        </w:div>
        <w:div w:id="302349245">
          <w:marLeft w:val="1426"/>
          <w:marRight w:val="0"/>
          <w:marTop w:val="96"/>
          <w:marBottom w:val="0"/>
          <w:divBdr>
            <w:top w:val="none" w:sz="0" w:space="0" w:color="auto"/>
            <w:left w:val="none" w:sz="0" w:space="0" w:color="auto"/>
            <w:bottom w:val="none" w:sz="0" w:space="0" w:color="auto"/>
            <w:right w:val="none" w:sz="0" w:space="0" w:color="auto"/>
          </w:divBdr>
        </w:div>
        <w:div w:id="956526330">
          <w:marLeft w:val="734"/>
          <w:marRight w:val="0"/>
          <w:marTop w:val="115"/>
          <w:marBottom w:val="0"/>
          <w:divBdr>
            <w:top w:val="none" w:sz="0" w:space="0" w:color="auto"/>
            <w:left w:val="none" w:sz="0" w:space="0" w:color="auto"/>
            <w:bottom w:val="none" w:sz="0" w:space="0" w:color="auto"/>
            <w:right w:val="none" w:sz="0" w:space="0" w:color="auto"/>
          </w:divBdr>
        </w:div>
        <w:div w:id="240212333">
          <w:marLeft w:val="1426"/>
          <w:marRight w:val="0"/>
          <w:marTop w:val="96"/>
          <w:marBottom w:val="0"/>
          <w:divBdr>
            <w:top w:val="none" w:sz="0" w:space="0" w:color="auto"/>
            <w:left w:val="none" w:sz="0" w:space="0" w:color="auto"/>
            <w:bottom w:val="none" w:sz="0" w:space="0" w:color="auto"/>
            <w:right w:val="none" w:sz="0" w:space="0" w:color="auto"/>
          </w:divBdr>
        </w:div>
        <w:div w:id="887306197">
          <w:marLeft w:val="734"/>
          <w:marRight w:val="0"/>
          <w:marTop w:val="115"/>
          <w:marBottom w:val="0"/>
          <w:divBdr>
            <w:top w:val="none" w:sz="0" w:space="0" w:color="auto"/>
            <w:left w:val="none" w:sz="0" w:space="0" w:color="auto"/>
            <w:bottom w:val="none" w:sz="0" w:space="0" w:color="auto"/>
            <w:right w:val="none" w:sz="0" w:space="0" w:color="auto"/>
          </w:divBdr>
        </w:div>
        <w:div w:id="1902594658">
          <w:marLeft w:val="734"/>
          <w:marRight w:val="0"/>
          <w:marTop w:val="154"/>
          <w:marBottom w:val="0"/>
          <w:divBdr>
            <w:top w:val="none" w:sz="0" w:space="0" w:color="auto"/>
            <w:left w:val="none" w:sz="0" w:space="0" w:color="auto"/>
            <w:bottom w:val="none" w:sz="0" w:space="0" w:color="auto"/>
            <w:right w:val="none" w:sz="0" w:space="0" w:color="auto"/>
          </w:divBdr>
        </w:div>
        <w:div w:id="471946232">
          <w:marLeft w:val="734"/>
          <w:marRight w:val="0"/>
          <w:marTop w:val="115"/>
          <w:marBottom w:val="0"/>
          <w:divBdr>
            <w:top w:val="none" w:sz="0" w:space="0" w:color="auto"/>
            <w:left w:val="none" w:sz="0" w:space="0" w:color="auto"/>
            <w:bottom w:val="none" w:sz="0" w:space="0" w:color="auto"/>
            <w:right w:val="none" w:sz="0" w:space="0" w:color="auto"/>
          </w:divBdr>
        </w:div>
        <w:div w:id="1004868172">
          <w:marLeft w:val="734"/>
          <w:marRight w:val="0"/>
          <w:marTop w:val="115"/>
          <w:marBottom w:val="0"/>
          <w:divBdr>
            <w:top w:val="none" w:sz="0" w:space="0" w:color="auto"/>
            <w:left w:val="none" w:sz="0" w:space="0" w:color="auto"/>
            <w:bottom w:val="none" w:sz="0" w:space="0" w:color="auto"/>
            <w:right w:val="none" w:sz="0" w:space="0" w:color="auto"/>
          </w:divBdr>
        </w:div>
        <w:div w:id="1140149701">
          <w:marLeft w:val="1426"/>
          <w:marRight w:val="0"/>
          <w:marTop w:val="96"/>
          <w:marBottom w:val="0"/>
          <w:divBdr>
            <w:top w:val="none" w:sz="0" w:space="0" w:color="auto"/>
            <w:left w:val="none" w:sz="0" w:space="0" w:color="auto"/>
            <w:bottom w:val="none" w:sz="0" w:space="0" w:color="auto"/>
            <w:right w:val="none" w:sz="0" w:space="0" w:color="auto"/>
          </w:divBdr>
        </w:div>
        <w:div w:id="1036198099">
          <w:marLeft w:val="734"/>
          <w:marRight w:val="0"/>
          <w:marTop w:val="115"/>
          <w:marBottom w:val="0"/>
          <w:divBdr>
            <w:top w:val="none" w:sz="0" w:space="0" w:color="auto"/>
            <w:left w:val="none" w:sz="0" w:space="0" w:color="auto"/>
            <w:bottom w:val="none" w:sz="0" w:space="0" w:color="auto"/>
            <w:right w:val="none" w:sz="0" w:space="0" w:color="auto"/>
          </w:divBdr>
        </w:div>
        <w:div w:id="1563830494">
          <w:marLeft w:val="1426"/>
          <w:marRight w:val="0"/>
          <w:marTop w:val="96"/>
          <w:marBottom w:val="0"/>
          <w:divBdr>
            <w:top w:val="none" w:sz="0" w:space="0" w:color="auto"/>
            <w:left w:val="none" w:sz="0" w:space="0" w:color="auto"/>
            <w:bottom w:val="none" w:sz="0" w:space="0" w:color="auto"/>
            <w:right w:val="none" w:sz="0" w:space="0" w:color="auto"/>
          </w:divBdr>
        </w:div>
        <w:div w:id="590506731">
          <w:marLeft w:val="734"/>
          <w:marRight w:val="0"/>
          <w:marTop w:val="115"/>
          <w:marBottom w:val="0"/>
          <w:divBdr>
            <w:top w:val="none" w:sz="0" w:space="0" w:color="auto"/>
            <w:left w:val="none" w:sz="0" w:space="0" w:color="auto"/>
            <w:bottom w:val="none" w:sz="0" w:space="0" w:color="auto"/>
            <w:right w:val="none" w:sz="0" w:space="0" w:color="auto"/>
          </w:divBdr>
        </w:div>
        <w:div w:id="379061793">
          <w:marLeft w:val="1426"/>
          <w:marRight w:val="0"/>
          <w:marTop w:val="96"/>
          <w:marBottom w:val="0"/>
          <w:divBdr>
            <w:top w:val="none" w:sz="0" w:space="0" w:color="auto"/>
            <w:left w:val="none" w:sz="0" w:space="0" w:color="auto"/>
            <w:bottom w:val="none" w:sz="0" w:space="0" w:color="auto"/>
            <w:right w:val="none" w:sz="0" w:space="0" w:color="auto"/>
          </w:divBdr>
        </w:div>
        <w:div w:id="1309090256">
          <w:marLeft w:val="734"/>
          <w:marRight w:val="0"/>
          <w:marTop w:val="115"/>
          <w:marBottom w:val="0"/>
          <w:divBdr>
            <w:top w:val="none" w:sz="0" w:space="0" w:color="auto"/>
            <w:left w:val="none" w:sz="0" w:space="0" w:color="auto"/>
            <w:bottom w:val="none" w:sz="0" w:space="0" w:color="auto"/>
            <w:right w:val="none" w:sz="0" w:space="0" w:color="auto"/>
          </w:divBdr>
        </w:div>
        <w:div w:id="961811641">
          <w:marLeft w:val="734"/>
          <w:marRight w:val="0"/>
          <w:marTop w:val="115"/>
          <w:marBottom w:val="0"/>
          <w:divBdr>
            <w:top w:val="none" w:sz="0" w:space="0" w:color="auto"/>
            <w:left w:val="none" w:sz="0" w:space="0" w:color="auto"/>
            <w:bottom w:val="none" w:sz="0" w:space="0" w:color="auto"/>
            <w:right w:val="none" w:sz="0" w:space="0" w:color="auto"/>
          </w:divBdr>
        </w:div>
        <w:div w:id="89013816">
          <w:marLeft w:val="734"/>
          <w:marRight w:val="0"/>
          <w:marTop w:val="115"/>
          <w:marBottom w:val="0"/>
          <w:divBdr>
            <w:top w:val="none" w:sz="0" w:space="0" w:color="auto"/>
            <w:left w:val="none" w:sz="0" w:space="0" w:color="auto"/>
            <w:bottom w:val="none" w:sz="0" w:space="0" w:color="auto"/>
            <w:right w:val="none" w:sz="0" w:space="0" w:color="auto"/>
          </w:divBdr>
        </w:div>
        <w:div w:id="1470242043">
          <w:marLeft w:val="734"/>
          <w:marRight w:val="0"/>
          <w:marTop w:val="115"/>
          <w:marBottom w:val="0"/>
          <w:divBdr>
            <w:top w:val="none" w:sz="0" w:space="0" w:color="auto"/>
            <w:left w:val="none" w:sz="0" w:space="0" w:color="auto"/>
            <w:bottom w:val="none" w:sz="0" w:space="0" w:color="auto"/>
            <w:right w:val="none" w:sz="0" w:space="0" w:color="auto"/>
          </w:divBdr>
        </w:div>
        <w:div w:id="254366609">
          <w:marLeft w:val="1426"/>
          <w:marRight w:val="0"/>
          <w:marTop w:val="96"/>
          <w:marBottom w:val="0"/>
          <w:divBdr>
            <w:top w:val="none" w:sz="0" w:space="0" w:color="auto"/>
            <w:left w:val="none" w:sz="0" w:space="0" w:color="auto"/>
            <w:bottom w:val="none" w:sz="0" w:space="0" w:color="auto"/>
            <w:right w:val="none" w:sz="0" w:space="0" w:color="auto"/>
          </w:divBdr>
        </w:div>
        <w:div w:id="172379326">
          <w:marLeft w:val="734"/>
          <w:marRight w:val="0"/>
          <w:marTop w:val="115"/>
          <w:marBottom w:val="0"/>
          <w:divBdr>
            <w:top w:val="none" w:sz="0" w:space="0" w:color="auto"/>
            <w:left w:val="none" w:sz="0" w:space="0" w:color="auto"/>
            <w:bottom w:val="none" w:sz="0" w:space="0" w:color="auto"/>
            <w:right w:val="none" w:sz="0" w:space="0" w:color="auto"/>
          </w:divBdr>
        </w:div>
        <w:div w:id="600383987">
          <w:marLeft w:val="1426"/>
          <w:marRight w:val="0"/>
          <w:marTop w:val="96"/>
          <w:marBottom w:val="0"/>
          <w:divBdr>
            <w:top w:val="none" w:sz="0" w:space="0" w:color="auto"/>
            <w:left w:val="none" w:sz="0" w:space="0" w:color="auto"/>
            <w:bottom w:val="none" w:sz="0" w:space="0" w:color="auto"/>
            <w:right w:val="none" w:sz="0" w:space="0" w:color="auto"/>
          </w:divBdr>
        </w:div>
        <w:div w:id="1152260671">
          <w:marLeft w:val="734"/>
          <w:marRight w:val="0"/>
          <w:marTop w:val="115"/>
          <w:marBottom w:val="0"/>
          <w:divBdr>
            <w:top w:val="none" w:sz="0" w:space="0" w:color="auto"/>
            <w:left w:val="none" w:sz="0" w:space="0" w:color="auto"/>
            <w:bottom w:val="none" w:sz="0" w:space="0" w:color="auto"/>
            <w:right w:val="none" w:sz="0" w:space="0" w:color="auto"/>
          </w:divBdr>
        </w:div>
        <w:div w:id="56321882">
          <w:marLeft w:val="1426"/>
          <w:marRight w:val="0"/>
          <w:marTop w:val="96"/>
          <w:marBottom w:val="0"/>
          <w:divBdr>
            <w:top w:val="none" w:sz="0" w:space="0" w:color="auto"/>
            <w:left w:val="none" w:sz="0" w:space="0" w:color="auto"/>
            <w:bottom w:val="none" w:sz="0" w:space="0" w:color="auto"/>
            <w:right w:val="none" w:sz="0" w:space="0" w:color="auto"/>
          </w:divBdr>
        </w:div>
        <w:div w:id="1948586227">
          <w:marLeft w:val="734"/>
          <w:marRight w:val="0"/>
          <w:marTop w:val="115"/>
          <w:marBottom w:val="0"/>
          <w:divBdr>
            <w:top w:val="none" w:sz="0" w:space="0" w:color="auto"/>
            <w:left w:val="none" w:sz="0" w:space="0" w:color="auto"/>
            <w:bottom w:val="none" w:sz="0" w:space="0" w:color="auto"/>
            <w:right w:val="none" w:sz="0" w:space="0" w:color="auto"/>
          </w:divBdr>
        </w:div>
        <w:div w:id="1767071781">
          <w:marLeft w:val="734"/>
          <w:marRight w:val="0"/>
          <w:marTop w:val="154"/>
          <w:marBottom w:val="0"/>
          <w:divBdr>
            <w:top w:val="none" w:sz="0" w:space="0" w:color="auto"/>
            <w:left w:val="none" w:sz="0" w:space="0" w:color="auto"/>
            <w:bottom w:val="none" w:sz="0" w:space="0" w:color="auto"/>
            <w:right w:val="none" w:sz="0" w:space="0" w:color="auto"/>
          </w:divBdr>
        </w:div>
        <w:div w:id="1434665021">
          <w:marLeft w:val="734"/>
          <w:marRight w:val="0"/>
          <w:marTop w:val="115"/>
          <w:marBottom w:val="0"/>
          <w:divBdr>
            <w:top w:val="none" w:sz="0" w:space="0" w:color="auto"/>
            <w:left w:val="none" w:sz="0" w:space="0" w:color="auto"/>
            <w:bottom w:val="none" w:sz="0" w:space="0" w:color="auto"/>
            <w:right w:val="none" w:sz="0" w:space="0" w:color="auto"/>
          </w:divBdr>
        </w:div>
        <w:div w:id="1458832355">
          <w:marLeft w:val="734"/>
          <w:marRight w:val="0"/>
          <w:marTop w:val="115"/>
          <w:marBottom w:val="0"/>
          <w:divBdr>
            <w:top w:val="none" w:sz="0" w:space="0" w:color="auto"/>
            <w:left w:val="none" w:sz="0" w:space="0" w:color="auto"/>
            <w:bottom w:val="none" w:sz="0" w:space="0" w:color="auto"/>
            <w:right w:val="none" w:sz="0" w:space="0" w:color="auto"/>
          </w:divBdr>
        </w:div>
        <w:div w:id="1366519492">
          <w:marLeft w:val="1426"/>
          <w:marRight w:val="0"/>
          <w:marTop w:val="96"/>
          <w:marBottom w:val="0"/>
          <w:divBdr>
            <w:top w:val="none" w:sz="0" w:space="0" w:color="auto"/>
            <w:left w:val="none" w:sz="0" w:space="0" w:color="auto"/>
            <w:bottom w:val="none" w:sz="0" w:space="0" w:color="auto"/>
            <w:right w:val="none" w:sz="0" w:space="0" w:color="auto"/>
          </w:divBdr>
        </w:div>
        <w:div w:id="814251756">
          <w:marLeft w:val="734"/>
          <w:marRight w:val="0"/>
          <w:marTop w:val="115"/>
          <w:marBottom w:val="0"/>
          <w:divBdr>
            <w:top w:val="none" w:sz="0" w:space="0" w:color="auto"/>
            <w:left w:val="none" w:sz="0" w:space="0" w:color="auto"/>
            <w:bottom w:val="none" w:sz="0" w:space="0" w:color="auto"/>
            <w:right w:val="none" w:sz="0" w:space="0" w:color="auto"/>
          </w:divBdr>
        </w:div>
        <w:div w:id="1051609785">
          <w:marLeft w:val="1426"/>
          <w:marRight w:val="0"/>
          <w:marTop w:val="96"/>
          <w:marBottom w:val="0"/>
          <w:divBdr>
            <w:top w:val="none" w:sz="0" w:space="0" w:color="auto"/>
            <w:left w:val="none" w:sz="0" w:space="0" w:color="auto"/>
            <w:bottom w:val="none" w:sz="0" w:space="0" w:color="auto"/>
            <w:right w:val="none" w:sz="0" w:space="0" w:color="auto"/>
          </w:divBdr>
        </w:div>
        <w:div w:id="869612841">
          <w:marLeft w:val="734"/>
          <w:marRight w:val="0"/>
          <w:marTop w:val="115"/>
          <w:marBottom w:val="0"/>
          <w:divBdr>
            <w:top w:val="none" w:sz="0" w:space="0" w:color="auto"/>
            <w:left w:val="none" w:sz="0" w:space="0" w:color="auto"/>
            <w:bottom w:val="none" w:sz="0" w:space="0" w:color="auto"/>
            <w:right w:val="none" w:sz="0" w:space="0" w:color="auto"/>
          </w:divBdr>
        </w:div>
        <w:div w:id="1776287940">
          <w:marLeft w:val="1426"/>
          <w:marRight w:val="0"/>
          <w:marTop w:val="96"/>
          <w:marBottom w:val="0"/>
          <w:divBdr>
            <w:top w:val="none" w:sz="0" w:space="0" w:color="auto"/>
            <w:left w:val="none" w:sz="0" w:space="0" w:color="auto"/>
            <w:bottom w:val="none" w:sz="0" w:space="0" w:color="auto"/>
            <w:right w:val="none" w:sz="0" w:space="0" w:color="auto"/>
          </w:divBdr>
        </w:div>
        <w:div w:id="1305087820">
          <w:marLeft w:val="734"/>
          <w:marRight w:val="0"/>
          <w:marTop w:val="115"/>
          <w:marBottom w:val="0"/>
          <w:divBdr>
            <w:top w:val="none" w:sz="0" w:space="0" w:color="auto"/>
            <w:left w:val="none" w:sz="0" w:space="0" w:color="auto"/>
            <w:bottom w:val="none" w:sz="0" w:space="0" w:color="auto"/>
            <w:right w:val="none" w:sz="0" w:space="0" w:color="auto"/>
          </w:divBdr>
        </w:div>
        <w:div w:id="1171989017">
          <w:marLeft w:val="734"/>
          <w:marRight w:val="0"/>
          <w:marTop w:val="144"/>
          <w:marBottom w:val="0"/>
          <w:divBdr>
            <w:top w:val="none" w:sz="0" w:space="0" w:color="auto"/>
            <w:left w:val="none" w:sz="0" w:space="0" w:color="auto"/>
            <w:bottom w:val="none" w:sz="0" w:space="0" w:color="auto"/>
            <w:right w:val="none" w:sz="0" w:space="0" w:color="auto"/>
          </w:divBdr>
        </w:div>
        <w:div w:id="1311910953">
          <w:marLeft w:val="734"/>
          <w:marRight w:val="0"/>
          <w:marTop w:val="154"/>
          <w:marBottom w:val="0"/>
          <w:divBdr>
            <w:top w:val="none" w:sz="0" w:space="0" w:color="auto"/>
            <w:left w:val="none" w:sz="0" w:space="0" w:color="auto"/>
            <w:bottom w:val="none" w:sz="0" w:space="0" w:color="auto"/>
            <w:right w:val="none" w:sz="0" w:space="0" w:color="auto"/>
          </w:divBdr>
        </w:div>
        <w:div w:id="1762070963">
          <w:marLeft w:val="734"/>
          <w:marRight w:val="0"/>
          <w:marTop w:val="115"/>
          <w:marBottom w:val="0"/>
          <w:divBdr>
            <w:top w:val="none" w:sz="0" w:space="0" w:color="auto"/>
            <w:left w:val="none" w:sz="0" w:space="0" w:color="auto"/>
            <w:bottom w:val="none" w:sz="0" w:space="0" w:color="auto"/>
            <w:right w:val="none" w:sz="0" w:space="0" w:color="auto"/>
          </w:divBdr>
        </w:div>
        <w:div w:id="935943790">
          <w:marLeft w:val="734"/>
          <w:marRight w:val="0"/>
          <w:marTop w:val="115"/>
          <w:marBottom w:val="0"/>
          <w:divBdr>
            <w:top w:val="none" w:sz="0" w:space="0" w:color="auto"/>
            <w:left w:val="none" w:sz="0" w:space="0" w:color="auto"/>
            <w:bottom w:val="none" w:sz="0" w:space="0" w:color="auto"/>
            <w:right w:val="none" w:sz="0" w:space="0" w:color="auto"/>
          </w:divBdr>
        </w:div>
        <w:div w:id="959845994">
          <w:marLeft w:val="1426"/>
          <w:marRight w:val="0"/>
          <w:marTop w:val="96"/>
          <w:marBottom w:val="0"/>
          <w:divBdr>
            <w:top w:val="none" w:sz="0" w:space="0" w:color="auto"/>
            <w:left w:val="none" w:sz="0" w:space="0" w:color="auto"/>
            <w:bottom w:val="none" w:sz="0" w:space="0" w:color="auto"/>
            <w:right w:val="none" w:sz="0" w:space="0" w:color="auto"/>
          </w:divBdr>
        </w:div>
        <w:div w:id="1695426231">
          <w:marLeft w:val="734"/>
          <w:marRight w:val="0"/>
          <w:marTop w:val="115"/>
          <w:marBottom w:val="0"/>
          <w:divBdr>
            <w:top w:val="none" w:sz="0" w:space="0" w:color="auto"/>
            <w:left w:val="none" w:sz="0" w:space="0" w:color="auto"/>
            <w:bottom w:val="none" w:sz="0" w:space="0" w:color="auto"/>
            <w:right w:val="none" w:sz="0" w:space="0" w:color="auto"/>
          </w:divBdr>
        </w:div>
        <w:div w:id="1308827570">
          <w:marLeft w:val="1426"/>
          <w:marRight w:val="0"/>
          <w:marTop w:val="96"/>
          <w:marBottom w:val="0"/>
          <w:divBdr>
            <w:top w:val="none" w:sz="0" w:space="0" w:color="auto"/>
            <w:left w:val="none" w:sz="0" w:space="0" w:color="auto"/>
            <w:bottom w:val="none" w:sz="0" w:space="0" w:color="auto"/>
            <w:right w:val="none" w:sz="0" w:space="0" w:color="auto"/>
          </w:divBdr>
        </w:div>
        <w:div w:id="32584016">
          <w:marLeft w:val="734"/>
          <w:marRight w:val="0"/>
          <w:marTop w:val="115"/>
          <w:marBottom w:val="0"/>
          <w:divBdr>
            <w:top w:val="none" w:sz="0" w:space="0" w:color="auto"/>
            <w:left w:val="none" w:sz="0" w:space="0" w:color="auto"/>
            <w:bottom w:val="none" w:sz="0" w:space="0" w:color="auto"/>
            <w:right w:val="none" w:sz="0" w:space="0" w:color="auto"/>
          </w:divBdr>
        </w:div>
        <w:div w:id="802888458">
          <w:marLeft w:val="1426"/>
          <w:marRight w:val="0"/>
          <w:marTop w:val="96"/>
          <w:marBottom w:val="0"/>
          <w:divBdr>
            <w:top w:val="none" w:sz="0" w:space="0" w:color="auto"/>
            <w:left w:val="none" w:sz="0" w:space="0" w:color="auto"/>
            <w:bottom w:val="none" w:sz="0" w:space="0" w:color="auto"/>
            <w:right w:val="none" w:sz="0" w:space="0" w:color="auto"/>
          </w:divBdr>
        </w:div>
        <w:div w:id="215893605">
          <w:marLeft w:val="734"/>
          <w:marRight w:val="0"/>
          <w:marTop w:val="115"/>
          <w:marBottom w:val="0"/>
          <w:divBdr>
            <w:top w:val="none" w:sz="0" w:space="0" w:color="auto"/>
            <w:left w:val="none" w:sz="0" w:space="0" w:color="auto"/>
            <w:bottom w:val="none" w:sz="0" w:space="0" w:color="auto"/>
            <w:right w:val="none" w:sz="0" w:space="0" w:color="auto"/>
          </w:divBdr>
        </w:div>
        <w:div w:id="1386445909">
          <w:marLeft w:val="734"/>
          <w:marRight w:val="0"/>
          <w:marTop w:val="154"/>
          <w:marBottom w:val="0"/>
          <w:divBdr>
            <w:top w:val="none" w:sz="0" w:space="0" w:color="auto"/>
            <w:left w:val="none" w:sz="0" w:space="0" w:color="auto"/>
            <w:bottom w:val="none" w:sz="0" w:space="0" w:color="auto"/>
            <w:right w:val="none" w:sz="0" w:space="0" w:color="auto"/>
          </w:divBdr>
        </w:div>
        <w:div w:id="346566968">
          <w:marLeft w:val="734"/>
          <w:marRight w:val="0"/>
          <w:marTop w:val="115"/>
          <w:marBottom w:val="0"/>
          <w:divBdr>
            <w:top w:val="none" w:sz="0" w:space="0" w:color="auto"/>
            <w:left w:val="none" w:sz="0" w:space="0" w:color="auto"/>
            <w:bottom w:val="none" w:sz="0" w:space="0" w:color="auto"/>
            <w:right w:val="none" w:sz="0" w:space="0" w:color="auto"/>
          </w:divBdr>
        </w:div>
        <w:div w:id="1943223986">
          <w:marLeft w:val="734"/>
          <w:marRight w:val="0"/>
          <w:marTop w:val="115"/>
          <w:marBottom w:val="0"/>
          <w:divBdr>
            <w:top w:val="none" w:sz="0" w:space="0" w:color="auto"/>
            <w:left w:val="none" w:sz="0" w:space="0" w:color="auto"/>
            <w:bottom w:val="none" w:sz="0" w:space="0" w:color="auto"/>
            <w:right w:val="none" w:sz="0" w:space="0" w:color="auto"/>
          </w:divBdr>
        </w:div>
        <w:div w:id="1553080251">
          <w:marLeft w:val="1426"/>
          <w:marRight w:val="0"/>
          <w:marTop w:val="96"/>
          <w:marBottom w:val="0"/>
          <w:divBdr>
            <w:top w:val="none" w:sz="0" w:space="0" w:color="auto"/>
            <w:left w:val="none" w:sz="0" w:space="0" w:color="auto"/>
            <w:bottom w:val="none" w:sz="0" w:space="0" w:color="auto"/>
            <w:right w:val="none" w:sz="0" w:space="0" w:color="auto"/>
          </w:divBdr>
        </w:div>
        <w:div w:id="1062101247">
          <w:marLeft w:val="734"/>
          <w:marRight w:val="0"/>
          <w:marTop w:val="115"/>
          <w:marBottom w:val="0"/>
          <w:divBdr>
            <w:top w:val="none" w:sz="0" w:space="0" w:color="auto"/>
            <w:left w:val="none" w:sz="0" w:space="0" w:color="auto"/>
            <w:bottom w:val="none" w:sz="0" w:space="0" w:color="auto"/>
            <w:right w:val="none" w:sz="0" w:space="0" w:color="auto"/>
          </w:divBdr>
        </w:div>
        <w:div w:id="1600328793">
          <w:marLeft w:val="1426"/>
          <w:marRight w:val="0"/>
          <w:marTop w:val="96"/>
          <w:marBottom w:val="0"/>
          <w:divBdr>
            <w:top w:val="none" w:sz="0" w:space="0" w:color="auto"/>
            <w:left w:val="none" w:sz="0" w:space="0" w:color="auto"/>
            <w:bottom w:val="none" w:sz="0" w:space="0" w:color="auto"/>
            <w:right w:val="none" w:sz="0" w:space="0" w:color="auto"/>
          </w:divBdr>
        </w:div>
        <w:div w:id="1285775534">
          <w:marLeft w:val="734"/>
          <w:marRight w:val="0"/>
          <w:marTop w:val="115"/>
          <w:marBottom w:val="0"/>
          <w:divBdr>
            <w:top w:val="none" w:sz="0" w:space="0" w:color="auto"/>
            <w:left w:val="none" w:sz="0" w:space="0" w:color="auto"/>
            <w:bottom w:val="none" w:sz="0" w:space="0" w:color="auto"/>
            <w:right w:val="none" w:sz="0" w:space="0" w:color="auto"/>
          </w:divBdr>
        </w:div>
        <w:div w:id="1355576479">
          <w:marLeft w:val="1426"/>
          <w:marRight w:val="0"/>
          <w:marTop w:val="96"/>
          <w:marBottom w:val="0"/>
          <w:divBdr>
            <w:top w:val="none" w:sz="0" w:space="0" w:color="auto"/>
            <w:left w:val="none" w:sz="0" w:space="0" w:color="auto"/>
            <w:bottom w:val="none" w:sz="0" w:space="0" w:color="auto"/>
            <w:right w:val="none" w:sz="0" w:space="0" w:color="auto"/>
          </w:divBdr>
        </w:div>
        <w:div w:id="309403612">
          <w:marLeft w:val="734"/>
          <w:marRight w:val="0"/>
          <w:marTop w:val="115"/>
          <w:marBottom w:val="0"/>
          <w:divBdr>
            <w:top w:val="none" w:sz="0" w:space="0" w:color="auto"/>
            <w:left w:val="none" w:sz="0" w:space="0" w:color="auto"/>
            <w:bottom w:val="none" w:sz="0" w:space="0" w:color="auto"/>
            <w:right w:val="none" w:sz="0" w:space="0" w:color="auto"/>
          </w:divBdr>
        </w:div>
        <w:div w:id="1482505641">
          <w:marLeft w:val="734"/>
          <w:marRight w:val="0"/>
          <w:marTop w:val="134"/>
          <w:marBottom w:val="0"/>
          <w:divBdr>
            <w:top w:val="none" w:sz="0" w:space="0" w:color="auto"/>
            <w:left w:val="none" w:sz="0" w:space="0" w:color="auto"/>
            <w:bottom w:val="none" w:sz="0" w:space="0" w:color="auto"/>
            <w:right w:val="none" w:sz="0" w:space="0" w:color="auto"/>
          </w:divBdr>
        </w:div>
        <w:div w:id="691108991">
          <w:marLeft w:val="734"/>
          <w:marRight w:val="0"/>
          <w:marTop w:val="115"/>
          <w:marBottom w:val="0"/>
          <w:divBdr>
            <w:top w:val="none" w:sz="0" w:space="0" w:color="auto"/>
            <w:left w:val="none" w:sz="0" w:space="0" w:color="auto"/>
            <w:bottom w:val="none" w:sz="0" w:space="0" w:color="auto"/>
            <w:right w:val="none" w:sz="0" w:space="0" w:color="auto"/>
          </w:divBdr>
        </w:div>
        <w:div w:id="1123812873">
          <w:marLeft w:val="734"/>
          <w:marRight w:val="0"/>
          <w:marTop w:val="115"/>
          <w:marBottom w:val="0"/>
          <w:divBdr>
            <w:top w:val="none" w:sz="0" w:space="0" w:color="auto"/>
            <w:left w:val="none" w:sz="0" w:space="0" w:color="auto"/>
            <w:bottom w:val="none" w:sz="0" w:space="0" w:color="auto"/>
            <w:right w:val="none" w:sz="0" w:space="0" w:color="auto"/>
          </w:divBdr>
        </w:div>
        <w:div w:id="325983809">
          <w:marLeft w:val="1426"/>
          <w:marRight w:val="0"/>
          <w:marTop w:val="96"/>
          <w:marBottom w:val="0"/>
          <w:divBdr>
            <w:top w:val="none" w:sz="0" w:space="0" w:color="auto"/>
            <w:left w:val="none" w:sz="0" w:space="0" w:color="auto"/>
            <w:bottom w:val="none" w:sz="0" w:space="0" w:color="auto"/>
            <w:right w:val="none" w:sz="0" w:space="0" w:color="auto"/>
          </w:divBdr>
        </w:div>
        <w:div w:id="281811261">
          <w:marLeft w:val="734"/>
          <w:marRight w:val="0"/>
          <w:marTop w:val="115"/>
          <w:marBottom w:val="0"/>
          <w:divBdr>
            <w:top w:val="none" w:sz="0" w:space="0" w:color="auto"/>
            <w:left w:val="none" w:sz="0" w:space="0" w:color="auto"/>
            <w:bottom w:val="none" w:sz="0" w:space="0" w:color="auto"/>
            <w:right w:val="none" w:sz="0" w:space="0" w:color="auto"/>
          </w:divBdr>
        </w:div>
        <w:div w:id="2131431366">
          <w:marLeft w:val="1426"/>
          <w:marRight w:val="0"/>
          <w:marTop w:val="96"/>
          <w:marBottom w:val="0"/>
          <w:divBdr>
            <w:top w:val="none" w:sz="0" w:space="0" w:color="auto"/>
            <w:left w:val="none" w:sz="0" w:space="0" w:color="auto"/>
            <w:bottom w:val="none" w:sz="0" w:space="0" w:color="auto"/>
            <w:right w:val="none" w:sz="0" w:space="0" w:color="auto"/>
          </w:divBdr>
        </w:div>
        <w:div w:id="400561706">
          <w:marLeft w:val="734"/>
          <w:marRight w:val="0"/>
          <w:marTop w:val="115"/>
          <w:marBottom w:val="0"/>
          <w:divBdr>
            <w:top w:val="none" w:sz="0" w:space="0" w:color="auto"/>
            <w:left w:val="none" w:sz="0" w:space="0" w:color="auto"/>
            <w:bottom w:val="none" w:sz="0" w:space="0" w:color="auto"/>
            <w:right w:val="none" w:sz="0" w:space="0" w:color="auto"/>
          </w:divBdr>
        </w:div>
        <w:div w:id="1094936966">
          <w:marLeft w:val="1426"/>
          <w:marRight w:val="0"/>
          <w:marTop w:val="96"/>
          <w:marBottom w:val="0"/>
          <w:divBdr>
            <w:top w:val="none" w:sz="0" w:space="0" w:color="auto"/>
            <w:left w:val="none" w:sz="0" w:space="0" w:color="auto"/>
            <w:bottom w:val="none" w:sz="0" w:space="0" w:color="auto"/>
            <w:right w:val="none" w:sz="0" w:space="0" w:color="auto"/>
          </w:divBdr>
        </w:div>
        <w:div w:id="483668816">
          <w:marLeft w:val="734"/>
          <w:marRight w:val="0"/>
          <w:marTop w:val="115"/>
          <w:marBottom w:val="0"/>
          <w:divBdr>
            <w:top w:val="none" w:sz="0" w:space="0" w:color="auto"/>
            <w:left w:val="none" w:sz="0" w:space="0" w:color="auto"/>
            <w:bottom w:val="none" w:sz="0" w:space="0" w:color="auto"/>
            <w:right w:val="none" w:sz="0" w:space="0" w:color="auto"/>
          </w:divBdr>
        </w:div>
        <w:div w:id="780422416">
          <w:marLeft w:val="734"/>
          <w:marRight w:val="0"/>
          <w:marTop w:val="154"/>
          <w:marBottom w:val="0"/>
          <w:divBdr>
            <w:top w:val="none" w:sz="0" w:space="0" w:color="auto"/>
            <w:left w:val="none" w:sz="0" w:space="0" w:color="auto"/>
            <w:bottom w:val="none" w:sz="0" w:space="0" w:color="auto"/>
            <w:right w:val="none" w:sz="0" w:space="0" w:color="auto"/>
          </w:divBdr>
        </w:div>
        <w:div w:id="582639849">
          <w:marLeft w:val="734"/>
          <w:marRight w:val="0"/>
          <w:marTop w:val="115"/>
          <w:marBottom w:val="0"/>
          <w:divBdr>
            <w:top w:val="none" w:sz="0" w:space="0" w:color="auto"/>
            <w:left w:val="none" w:sz="0" w:space="0" w:color="auto"/>
            <w:bottom w:val="none" w:sz="0" w:space="0" w:color="auto"/>
            <w:right w:val="none" w:sz="0" w:space="0" w:color="auto"/>
          </w:divBdr>
        </w:div>
        <w:div w:id="1428766300">
          <w:marLeft w:val="734"/>
          <w:marRight w:val="0"/>
          <w:marTop w:val="115"/>
          <w:marBottom w:val="0"/>
          <w:divBdr>
            <w:top w:val="none" w:sz="0" w:space="0" w:color="auto"/>
            <w:left w:val="none" w:sz="0" w:space="0" w:color="auto"/>
            <w:bottom w:val="none" w:sz="0" w:space="0" w:color="auto"/>
            <w:right w:val="none" w:sz="0" w:space="0" w:color="auto"/>
          </w:divBdr>
        </w:div>
        <w:div w:id="599920558">
          <w:marLeft w:val="1426"/>
          <w:marRight w:val="0"/>
          <w:marTop w:val="96"/>
          <w:marBottom w:val="0"/>
          <w:divBdr>
            <w:top w:val="none" w:sz="0" w:space="0" w:color="auto"/>
            <w:left w:val="none" w:sz="0" w:space="0" w:color="auto"/>
            <w:bottom w:val="none" w:sz="0" w:space="0" w:color="auto"/>
            <w:right w:val="none" w:sz="0" w:space="0" w:color="auto"/>
          </w:divBdr>
        </w:div>
        <w:div w:id="750350586">
          <w:marLeft w:val="734"/>
          <w:marRight w:val="0"/>
          <w:marTop w:val="115"/>
          <w:marBottom w:val="0"/>
          <w:divBdr>
            <w:top w:val="none" w:sz="0" w:space="0" w:color="auto"/>
            <w:left w:val="none" w:sz="0" w:space="0" w:color="auto"/>
            <w:bottom w:val="none" w:sz="0" w:space="0" w:color="auto"/>
            <w:right w:val="none" w:sz="0" w:space="0" w:color="auto"/>
          </w:divBdr>
        </w:div>
        <w:div w:id="319695059">
          <w:marLeft w:val="1426"/>
          <w:marRight w:val="0"/>
          <w:marTop w:val="96"/>
          <w:marBottom w:val="0"/>
          <w:divBdr>
            <w:top w:val="none" w:sz="0" w:space="0" w:color="auto"/>
            <w:left w:val="none" w:sz="0" w:space="0" w:color="auto"/>
            <w:bottom w:val="none" w:sz="0" w:space="0" w:color="auto"/>
            <w:right w:val="none" w:sz="0" w:space="0" w:color="auto"/>
          </w:divBdr>
        </w:div>
        <w:div w:id="399980340">
          <w:marLeft w:val="734"/>
          <w:marRight w:val="0"/>
          <w:marTop w:val="115"/>
          <w:marBottom w:val="0"/>
          <w:divBdr>
            <w:top w:val="none" w:sz="0" w:space="0" w:color="auto"/>
            <w:left w:val="none" w:sz="0" w:space="0" w:color="auto"/>
            <w:bottom w:val="none" w:sz="0" w:space="0" w:color="auto"/>
            <w:right w:val="none" w:sz="0" w:space="0" w:color="auto"/>
          </w:divBdr>
        </w:div>
        <w:div w:id="151139941">
          <w:marLeft w:val="1426"/>
          <w:marRight w:val="0"/>
          <w:marTop w:val="96"/>
          <w:marBottom w:val="0"/>
          <w:divBdr>
            <w:top w:val="none" w:sz="0" w:space="0" w:color="auto"/>
            <w:left w:val="none" w:sz="0" w:space="0" w:color="auto"/>
            <w:bottom w:val="none" w:sz="0" w:space="0" w:color="auto"/>
            <w:right w:val="none" w:sz="0" w:space="0" w:color="auto"/>
          </w:divBdr>
        </w:div>
        <w:div w:id="92173119">
          <w:marLeft w:val="734"/>
          <w:marRight w:val="0"/>
          <w:marTop w:val="115"/>
          <w:marBottom w:val="0"/>
          <w:divBdr>
            <w:top w:val="none" w:sz="0" w:space="0" w:color="auto"/>
            <w:left w:val="none" w:sz="0" w:space="0" w:color="auto"/>
            <w:bottom w:val="none" w:sz="0" w:space="0" w:color="auto"/>
            <w:right w:val="none" w:sz="0" w:space="0" w:color="auto"/>
          </w:divBdr>
        </w:div>
        <w:div w:id="869221065">
          <w:marLeft w:val="734"/>
          <w:marRight w:val="0"/>
          <w:marTop w:val="173"/>
          <w:marBottom w:val="0"/>
          <w:divBdr>
            <w:top w:val="none" w:sz="0" w:space="0" w:color="auto"/>
            <w:left w:val="none" w:sz="0" w:space="0" w:color="auto"/>
            <w:bottom w:val="none" w:sz="0" w:space="0" w:color="auto"/>
            <w:right w:val="none" w:sz="0" w:space="0" w:color="auto"/>
          </w:divBdr>
        </w:div>
        <w:div w:id="295915218">
          <w:marLeft w:val="734"/>
          <w:marRight w:val="0"/>
          <w:marTop w:val="96"/>
          <w:marBottom w:val="0"/>
          <w:divBdr>
            <w:top w:val="none" w:sz="0" w:space="0" w:color="auto"/>
            <w:left w:val="none" w:sz="0" w:space="0" w:color="auto"/>
            <w:bottom w:val="none" w:sz="0" w:space="0" w:color="auto"/>
            <w:right w:val="none" w:sz="0" w:space="0" w:color="auto"/>
          </w:divBdr>
        </w:div>
        <w:div w:id="2056462211">
          <w:marLeft w:val="1426"/>
          <w:marRight w:val="0"/>
          <w:marTop w:val="77"/>
          <w:marBottom w:val="0"/>
          <w:divBdr>
            <w:top w:val="none" w:sz="0" w:space="0" w:color="auto"/>
            <w:left w:val="none" w:sz="0" w:space="0" w:color="auto"/>
            <w:bottom w:val="none" w:sz="0" w:space="0" w:color="auto"/>
            <w:right w:val="none" w:sz="0" w:space="0" w:color="auto"/>
          </w:divBdr>
        </w:div>
        <w:div w:id="1279144604">
          <w:marLeft w:val="734"/>
          <w:marRight w:val="0"/>
          <w:marTop w:val="96"/>
          <w:marBottom w:val="0"/>
          <w:divBdr>
            <w:top w:val="none" w:sz="0" w:space="0" w:color="auto"/>
            <w:left w:val="none" w:sz="0" w:space="0" w:color="auto"/>
            <w:bottom w:val="none" w:sz="0" w:space="0" w:color="auto"/>
            <w:right w:val="none" w:sz="0" w:space="0" w:color="auto"/>
          </w:divBdr>
        </w:div>
        <w:div w:id="1019086413">
          <w:marLeft w:val="1426"/>
          <w:marRight w:val="0"/>
          <w:marTop w:val="77"/>
          <w:marBottom w:val="0"/>
          <w:divBdr>
            <w:top w:val="none" w:sz="0" w:space="0" w:color="auto"/>
            <w:left w:val="none" w:sz="0" w:space="0" w:color="auto"/>
            <w:bottom w:val="none" w:sz="0" w:space="0" w:color="auto"/>
            <w:right w:val="none" w:sz="0" w:space="0" w:color="auto"/>
          </w:divBdr>
        </w:div>
        <w:div w:id="255939147">
          <w:marLeft w:val="734"/>
          <w:marRight w:val="0"/>
          <w:marTop w:val="96"/>
          <w:marBottom w:val="0"/>
          <w:divBdr>
            <w:top w:val="none" w:sz="0" w:space="0" w:color="auto"/>
            <w:left w:val="none" w:sz="0" w:space="0" w:color="auto"/>
            <w:bottom w:val="none" w:sz="0" w:space="0" w:color="auto"/>
            <w:right w:val="none" w:sz="0" w:space="0" w:color="auto"/>
          </w:divBdr>
        </w:div>
        <w:div w:id="426852968">
          <w:marLeft w:val="1426"/>
          <w:marRight w:val="0"/>
          <w:marTop w:val="77"/>
          <w:marBottom w:val="0"/>
          <w:divBdr>
            <w:top w:val="none" w:sz="0" w:space="0" w:color="auto"/>
            <w:left w:val="none" w:sz="0" w:space="0" w:color="auto"/>
            <w:bottom w:val="none" w:sz="0" w:space="0" w:color="auto"/>
            <w:right w:val="none" w:sz="0" w:space="0" w:color="auto"/>
          </w:divBdr>
        </w:div>
        <w:div w:id="1384989961">
          <w:marLeft w:val="734"/>
          <w:marRight w:val="0"/>
          <w:marTop w:val="96"/>
          <w:marBottom w:val="0"/>
          <w:divBdr>
            <w:top w:val="none" w:sz="0" w:space="0" w:color="auto"/>
            <w:left w:val="none" w:sz="0" w:space="0" w:color="auto"/>
            <w:bottom w:val="none" w:sz="0" w:space="0" w:color="auto"/>
            <w:right w:val="none" w:sz="0" w:space="0" w:color="auto"/>
          </w:divBdr>
        </w:div>
        <w:div w:id="2141072850">
          <w:marLeft w:val="1426"/>
          <w:marRight w:val="0"/>
          <w:marTop w:val="77"/>
          <w:marBottom w:val="0"/>
          <w:divBdr>
            <w:top w:val="none" w:sz="0" w:space="0" w:color="auto"/>
            <w:left w:val="none" w:sz="0" w:space="0" w:color="auto"/>
            <w:bottom w:val="none" w:sz="0" w:space="0" w:color="auto"/>
            <w:right w:val="none" w:sz="0" w:space="0" w:color="auto"/>
          </w:divBdr>
        </w:div>
        <w:div w:id="1808820039">
          <w:marLeft w:val="734"/>
          <w:marRight w:val="0"/>
          <w:marTop w:val="96"/>
          <w:marBottom w:val="0"/>
          <w:divBdr>
            <w:top w:val="none" w:sz="0" w:space="0" w:color="auto"/>
            <w:left w:val="none" w:sz="0" w:space="0" w:color="auto"/>
            <w:bottom w:val="none" w:sz="0" w:space="0" w:color="auto"/>
            <w:right w:val="none" w:sz="0" w:space="0" w:color="auto"/>
          </w:divBdr>
        </w:div>
        <w:div w:id="320698977">
          <w:marLeft w:val="1426"/>
          <w:marRight w:val="0"/>
          <w:marTop w:val="77"/>
          <w:marBottom w:val="0"/>
          <w:divBdr>
            <w:top w:val="none" w:sz="0" w:space="0" w:color="auto"/>
            <w:left w:val="none" w:sz="0" w:space="0" w:color="auto"/>
            <w:bottom w:val="none" w:sz="0" w:space="0" w:color="auto"/>
            <w:right w:val="none" w:sz="0" w:space="0" w:color="auto"/>
          </w:divBdr>
        </w:div>
        <w:div w:id="1166364429">
          <w:marLeft w:val="734"/>
          <w:marRight w:val="0"/>
          <w:marTop w:val="144"/>
          <w:marBottom w:val="0"/>
          <w:divBdr>
            <w:top w:val="none" w:sz="0" w:space="0" w:color="auto"/>
            <w:left w:val="none" w:sz="0" w:space="0" w:color="auto"/>
            <w:bottom w:val="none" w:sz="0" w:space="0" w:color="auto"/>
            <w:right w:val="none" w:sz="0" w:space="0" w:color="auto"/>
          </w:divBdr>
        </w:div>
        <w:div w:id="421880778">
          <w:marLeft w:val="734"/>
          <w:marRight w:val="0"/>
          <w:marTop w:val="154"/>
          <w:marBottom w:val="0"/>
          <w:divBdr>
            <w:top w:val="none" w:sz="0" w:space="0" w:color="auto"/>
            <w:left w:val="none" w:sz="0" w:space="0" w:color="auto"/>
            <w:bottom w:val="none" w:sz="0" w:space="0" w:color="auto"/>
            <w:right w:val="none" w:sz="0" w:space="0" w:color="auto"/>
          </w:divBdr>
        </w:div>
        <w:div w:id="869031742">
          <w:marLeft w:val="734"/>
          <w:marRight w:val="0"/>
          <w:marTop w:val="115"/>
          <w:marBottom w:val="0"/>
          <w:divBdr>
            <w:top w:val="none" w:sz="0" w:space="0" w:color="auto"/>
            <w:left w:val="none" w:sz="0" w:space="0" w:color="auto"/>
            <w:bottom w:val="none" w:sz="0" w:space="0" w:color="auto"/>
            <w:right w:val="none" w:sz="0" w:space="0" w:color="auto"/>
          </w:divBdr>
        </w:div>
        <w:div w:id="1044401810">
          <w:marLeft w:val="734"/>
          <w:marRight w:val="0"/>
          <w:marTop w:val="115"/>
          <w:marBottom w:val="0"/>
          <w:divBdr>
            <w:top w:val="none" w:sz="0" w:space="0" w:color="auto"/>
            <w:left w:val="none" w:sz="0" w:space="0" w:color="auto"/>
            <w:bottom w:val="none" w:sz="0" w:space="0" w:color="auto"/>
            <w:right w:val="none" w:sz="0" w:space="0" w:color="auto"/>
          </w:divBdr>
        </w:div>
        <w:div w:id="1468087153">
          <w:marLeft w:val="1426"/>
          <w:marRight w:val="0"/>
          <w:marTop w:val="96"/>
          <w:marBottom w:val="0"/>
          <w:divBdr>
            <w:top w:val="none" w:sz="0" w:space="0" w:color="auto"/>
            <w:left w:val="none" w:sz="0" w:space="0" w:color="auto"/>
            <w:bottom w:val="none" w:sz="0" w:space="0" w:color="auto"/>
            <w:right w:val="none" w:sz="0" w:space="0" w:color="auto"/>
          </w:divBdr>
        </w:div>
        <w:div w:id="970086985">
          <w:marLeft w:val="734"/>
          <w:marRight w:val="0"/>
          <w:marTop w:val="115"/>
          <w:marBottom w:val="0"/>
          <w:divBdr>
            <w:top w:val="none" w:sz="0" w:space="0" w:color="auto"/>
            <w:left w:val="none" w:sz="0" w:space="0" w:color="auto"/>
            <w:bottom w:val="none" w:sz="0" w:space="0" w:color="auto"/>
            <w:right w:val="none" w:sz="0" w:space="0" w:color="auto"/>
          </w:divBdr>
        </w:div>
        <w:div w:id="1082339485">
          <w:marLeft w:val="1426"/>
          <w:marRight w:val="0"/>
          <w:marTop w:val="96"/>
          <w:marBottom w:val="0"/>
          <w:divBdr>
            <w:top w:val="none" w:sz="0" w:space="0" w:color="auto"/>
            <w:left w:val="none" w:sz="0" w:space="0" w:color="auto"/>
            <w:bottom w:val="none" w:sz="0" w:space="0" w:color="auto"/>
            <w:right w:val="none" w:sz="0" w:space="0" w:color="auto"/>
          </w:divBdr>
        </w:div>
        <w:div w:id="105664266">
          <w:marLeft w:val="734"/>
          <w:marRight w:val="0"/>
          <w:marTop w:val="115"/>
          <w:marBottom w:val="0"/>
          <w:divBdr>
            <w:top w:val="none" w:sz="0" w:space="0" w:color="auto"/>
            <w:left w:val="none" w:sz="0" w:space="0" w:color="auto"/>
            <w:bottom w:val="none" w:sz="0" w:space="0" w:color="auto"/>
            <w:right w:val="none" w:sz="0" w:space="0" w:color="auto"/>
          </w:divBdr>
        </w:div>
        <w:div w:id="1659729588">
          <w:marLeft w:val="1426"/>
          <w:marRight w:val="0"/>
          <w:marTop w:val="96"/>
          <w:marBottom w:val="0"/>
          <w:divBdr>
            <w:top w:val="none" w:sz="0" w:space="0" w:color="auto"/>
            <w:left w:val="none" w:sz="0" w:space="0" w:color="auto"/>
            <w:bottom w:val="none" w:sz="0" w:space="0" w:color="auto"/>
            <w:right w:val="none" w:sz="0" w:space="0" w:color="auto"/>
          </w:divBdr>
        </w:div>
        <w:div w:id="1759474643">
          <w:marLeft w:val="734"/>
          <w:marRight w:val="0"/>
          <w:marTop w:val="115"/>
          <w:marBottom w:val="0"/>
          <w:divBdr>
            <w:top w:val="none" w:sz="0" w:space="0" w:color="auto"/>
            <w:left w:val="none" w:sz="0" w:space="0" w:color="auto"/>
            <w:bottom w:val="none" w:sz="0" w:space="0" w:color="auto"/>
            <w:right w:val="none" w:sz="0" w:space="0" w:color="auto"/>
          </w:divBdr>
        </w:div>
        <w:div w:id="298457992">
          <w:marLeft w:val="734"/>
          <w:marRight w:val="0"/>
          <w:marTop w:val="154"/>
          <w:marBottom w:val="0"/>
          <w:divBdr>
            <w:top w:val="none" w:sz="0" w:space="0" w:color="auto"/>
            <w:left w:val="none" w:sz="0" w:space="0" w:color="auto"/>
            <w:bottom w:val="none" w:sz="0" w:space="0" w:color="auto"/>
            <w:right w:val="none" w:sz="0" w:space="0" w:color="auto"/>
          </w:divBdr>
        </w:div>
        <w:div w:id="2065327058">
          <w:marLeft w:val="734"/>
          <w:marRight w:val="0"/>
          <w:marTop w:val="115"/>
          <w:marBottom w:val="0"/>
          <w:divBdr>
            <w:top w:val="none" w:sz="0" w:space="0" w:color="auto"/>
            <w:left w:val="none" w:sz="0" w:space="0" w:color="auto"/>
            <w:bottom w:val="none" w:sz="0" w:space="0" w:color="auto"/>
            <w:right w:val="none" w:sz="0" w:space="0" w:color="auto"/>
          </w:divBdr>
        </w:div>
        <w:div w:id="386880754">
          <w:marLeft w:val="734"/>
          <w:marRight w:val="0"/>
          <w:marTop w:val="115"/>
          <w:marBottom w:val="0"/>
          <w:divBdr>
            <w:top w:val="none" w:sz="0" w:space="0" w:color="auto"/>
            <w:left w:val="none" w:sz="0" w:space="0" w:color="auto"/>
            <w:bottom w:val="none" w:sz="0" w:space="0" w:color="auto"/>
            <w:right w:val="none" w:sz="0" w:space="0" w:color="auto"/>
          </w:divBdr>
        </w:div>
        <w:div w:id="385228113">
          <w:marLeft w:val="1426"/>
          <w:marRight w:val="0"/>
          <w:marTop w:val="96"/>
          <w:marBottom w:val="0"/>
          <w:divBdr>
            <w:top w:val="none" w:sz="0" w:space="0" w:color="auto"/>
            <w:left w:val="none" w:sz="0" w:space="0" w:color="auto"/>
            <w:bottom w:val="none" w:sz="0" w:space="0" w:color="auto"/>
            <w:right w:val="none" w:sz="0" w:space="0" w:color="auto"/>
          </w:divBdr>
        </w:div>
        <w:div w:id="1568758006">
          <w:marLeft w:val="734"/>
          <w:marRight w:val="0"/>
          <w:marTop w:val="115"/>
          <w:marBottom w:val="0"/>
          <w:divBdr>
            <w:top w:val="none" w:sz="0" w:space="0" w:color="auto"/>
            <w:left w:val="none" w:sz="0" w:space="0" w:color="auto"/>
            <w:bottom w:val="none" w:sz="0" w:space="0" w:color="auto"/>
            <w:right w:val="none" w:sz="0" w:space="0" w:color="auto"/>
          </w:divBdr>
        </w:div>
        <w:div w:id="1879007881">
          <w:marLeft w:val="1426"/>
          <w:marRight w:val="0"/>
          <w:marTop w:val="96"/>
          <w:marBottom w:val="0"/>
          <w:divBdr>
            <w:top w:val="none" w:sz="0" w:space="0" w:color="auto"/>
            <w:left w:val="none" w:sz="0" w:space="0" w:color="auto"/>
            <w:bottom w:val="none" w:sz="0" w:space="0" w:color="auto"/>
            <w:right w:val="none" w:sz="0" w:space="0" w:color="auto"/>
          </w:divBdr>
        </w:div>
        <w:div w:id="976106712">
          <w:marLeft w:val="734"/>
          <w:marRight w:val="0"/>
          <w:marTop w:val="115"/>
          <w:marBottom w:val="0"/>
          <w:divBdr>
            <w:top w:val="none" w:sz="0" w:space="0" w:color="auto"/>
            <w:left w:val="none" w:sz="0" w:space="0" w:color="auto"/>
            <w:bottom w:val="none" w:sz="0" w:space="0" w:color="auto"/>
            <w:right w:val="none" w:sz="0" w:space="0" w:color="auto"/>
          </w:divBdr>
        </w:div>
        <w:div w:id="346100131">
          <w:marLeft w:val="1426"/>
          <w:marRight w:val="0"/>
          <w:marTop w:val="96"/>
          <w:marBottom w:val="0"/>
          <w:divBdr>
            <w:top w:val="none" w:sz="0" w:space="0" w:color="auto"/>
            <w:left w:val="none" w:sz="0" w:space="0" w:color="auto"/>
            <w:bottom w:val="none" w:sz="0" w:space="0" w:color="auto"/>
            <w:right w:val="none" w:sz="0" w:space="0" w:color="auto"/>
          </w:divBdr>
        </w:div>
        <w:div w:id="195898712">
          <w:marLeft w:val="734"/>
          <w:marRight w:val="0"/>
          <w:marTop w:val="115"/>
          <w:marBottom w:val="0"/>
          <w:divBdr>
            <w:top w:val="none" w:sz="0" w:space="0" w:color="auto"/>
            <w:left w:val="none" w:sz="0" w:space="0" w:color="auto"/>
            <w:bottom w:val="none" w:sz="0" w:space="0" w:color="auto"/>
            <w:right w:val="none" w:sz="0" w:space="0" w:color="auto"/>
          </w:divBdr>
        </w:div>
        <w:div w:id="460653990">
          <w:marLeft w:val="734"/>
          <w:marRight w:val="0"/>
          <w:marTop w:val="154"/>
          <w:marBottom w:val="0"/>
          <w:divBdr>
            <w:top w:val="none" w:sz="0" w:space="0" w:color="auto"/>
            <w:left w:val="none" w:sz="0" w:space="0" w:color="auto"/>
            <w:bottom w:val="none" w:sz="0" w:space="0" w:color="auto"/>
            <w:right w:val="none" w:sz="0" w:space="0" w:color="auto"/>
          </w:divBdr>
        </w:div>
        <w:div w:id="493224234">
          <w:marLeft w:val="734"/>
          <w:marRight w:val="0"/>
          <w:marTop w:val="115"/>
          <w:marBottom w:val="0"/>
          <w:divBdr>
            <w:top w:val="none" w:sz="0" w:space="0" w:color="auto"/>
            <w:left w:val="none" w:sz="0" w:space="0" w:color="auto"/>
            <w:bottom w:val="none" w:sz="0" w:space="0" w:color="auto"/>
            <w:right w:val="none" w:sz="0" w:space="0" w:color="auto"/>
          </w:divBdr>
        </w:div>
        <w:div w:id="19671463">
          <w:marLeft w:val="734"/>
          <w:marRight w:val="0"/>
          <w:marTop w:val="115"/>
          <w:marBottom w:val="0"/>
          <w:divBdr>
            <w:top w:val="none" w:sz="0" w:space="0" w:color="auto"/>
            <w:left w:val="none" w:sz="0" w:space="0" w:color="auto"/>
            <w:bottom w:val="none" w:sz="0" w:space="0" w:color="auto"/>
            <w:right w:val="none" w:sz="0" w:space="0" w:color="auto"/>
          </w:divBdr>
        </w:div>
        <w:div w:id="1537158287">
          <w:marLeft w:val="1426"/>
          <w:marRight w:val="0"/>
          <w:marTop w:val="96"/>
          <w:marBottom w:val="0"/>
          <w:divBdr>
            <w:top w:val="none" w:sz="0" w:space="0" w:color="auto"/>
            <w:left w:val="none" w:sz="0" w:space="0" w:color="auto"/>
            <w:bottom w:val="none" w:sz="0" w:space="0" w:color="auto"/>
            <w:right w:val="none" w:sz="0" w:space="0" w:color="auto"/>
          </w:divBdr>
        </w:div>
        <w:div w:id="801462346">
          <w:marLeft w:val="734"/>
          <w:marRight w:val="0"/>
          <w:marTop w:val="115"/>
          <w:marBottom w:val="0"/>
          <w:divBdr>
            <w:top w:val="none" w:sz="0" w:space="0" w:color="auto"/>
            <w:left w:val="none" w:sz="0" w:space="0" w:color="auto"/>
            <w:bottom w:val="none" w:sz="0" w:space="0" w:color="auto"/>
            <w:right w:val="none" w:sz="0" w:space="0" w:color="auto"/>
          </w:divBdr>
        </w:div>
        <w:div w:id="832068719">
          <w:marLeft w:val="1426"/>
          <w:marRight w:val="0"/>
          <w:marTop w:val="96"/>
          <w:marBottom w:val="0"/>
          <w:divBdr>
            <w:top w:val="none" w:sz="0" w:space="0" w:color="auto"/>
            <w:left w:val="none" w:sz="0" w:space="0" w:color="auto"/>
            <w:bottom w:val="none" w:sz="0" w:space="0" w:color="auto"/>
            <w:right w:val="none" w:sz="0" w:space="0" w:color="auto"/>
          </w:divBdr>
        </w:div>
        <w:div w:id="1426606356">
          <w:marLeft w:val="734"/>
          <w:marRight w:val="0"/>
          <w:marTop w:val="115"/>
          <w:marBottom w:val="0"/>
          <w:divBdr>
            <w:top w:val="none" w:sz="0" w:space="0" w:color="auto"/>
            <w:left w:val="none" w:sz="0" w:space="0" w:color="auto"/>
            <w:bottom w:val="none" w:sz="0" w:space="0" w:color="auto"/>
            <w:right w:val="none" w:sz="0" w:space="0" w:color="auto"/>
          </w:divBdr>
        </w:div>
        <w:div w:id="19164641">
          <w:marLeft w:val="1426"/>
          <w:marRight w:val="0"/>
          <w:marTop w:val="96"/>
          <w:marBottom w:val="0"/>
          <w:divBdr>
            <w:top w:val="none" w:sz="0" w:space="0" w:color="auto"/>
            <w:left w:val="none" w:sz="0" w:space="0" w:color="auto"/>
            <w:bottom w:val="none" w:sz="0" w:space="0" w:color="auto"/>
            <w:right w:val="none" w:sz="0" w:space="0" w:color="auto"/>
          </w:divBdr>
        </w:div>
        <w:div w:id="1488593761">
          <w:marLeft w:val="734"/>
          <w:marRight w:val="0"/>
          <w:marTop w:val="115"/>
          <w:marBottom w:val="0"/>
          <w:divBdr>
            <w:top w:val="none" w:sz="0" w:space="0" w:color="auto"/>
            <w:left w:val="none" w:sz="0" w:space="0" w:color="auto"/>
            <w:bottom w:val="none" w:sz="0" w:space="0" w:color="auto"/>
            <w:right w:val="none" w:sz="0" w:space="0" w:color="auto"/>
          </w:divBdr>
        </w:div>
        <w:div w:id="1371489385">
          <w:marLeft w:val="734"/>
          <w:marRight w:val="0"/>
          <w:marTop w:val="154"/>
          <w:marBottom w:val="0"/>
          <w:divBdr>
            <w:top w:val="none" w:sz="0" w:space="0" w:color="auto"/>
            <w:left w:val="none" w:sz="0" w:space="0" w:color="auto"/>
            <w:bottom w:val="none" w:sz="0" w:space="0" w:color="auto"/>
            <w:right w:val="none" w:sz="0" w:space="0" w:color="auto"/>
          </w:divBdr>
        </w:div>
        <w:div w:id="338629437">
          <w:marLeft w:val="734"/>
          <w:marRight w:val="0"/>
          <w:marTop w:val="115"/>
          <w:marBottom w:val="0"/>
          <w:divBdr>
            <w:top w:val="none" w:sz="0" w:space="0" w:color="auto"/>
            <w:left w:val="none" w:sz="0" w:space="0" w:color="auto"/>
            <w:bottom w:val="none" w:sz="0" w:space="0" w:color="auto"/>
            <w:right w:val="none" w:sz="0" w:space="0" w:color="auto"/>
          </w:divBdr>
        </w:div>
        <w:div w:id="1418282696">
          <w:marLeft w:val="734"/>
          <w:marRight w:val="0"/>
          <w:marTop w:val="115"/>
          <w:marBottom w:val="0"/>
          <w:divBdr>
            <w:top w:val="none" w:sz="0" w:space="0" w:color="auto"/>
            <w:left w:val="none" w:sz="0" w:space="0" w:color="auto"/>
            <w:bottom w:val="none" w:sz="0" w:space="0" w:color="auto"/>
            <w:right w:val="none" w:sz="0" w:space="0" w:color="auto"/>
          </w:divBdr>
        </w:div>
        <w:div w:id="537816214">
          <w:marLeft w:val="1426"/>
          <w:marRight w:val="0"/>
          <w:marTop w:val="96"/>
          <w:marBottom w:val="0"/>
          <w:divBdr>
            <w:top w:val="none" w:sz="0" w:space="0" w:color="auto"/>
            <w:left w:val="none" w:sz="0" w:space="0" w:color="auto"/>
            <w:bottom w:val="none" w:sz="0" w:space="0" w:color="auto"/>
            <w:right w:val="none" w:sz="0" w:space="0" w:color="auto"/>
          </w:divBdr>
        </w:div>
        <w:div w:id="226963405">
          <w:marLeft w:val="734"/>
          <w:marRight w:val="0"/>
          <w:marTop w:val="115"/>
          <w:marBottom w:val="0"/>
          <w:divBdr>
            <w:top w:val="none" w:sz="0" w:space="0" w:color="auto"/>
            <w:left w:val="none" w:sz="0" w:space="0" w:color="auto"/>
            <w:bottom w:val="none" w:sz="0" w:space="0" w:color="auto"/>
            <w:right w:val="none" w:sz="0" w:space="0" w:color="auto"/>
          </w:divBdr>
        </w:div>
        <w:div w:id="71317267">
          <w:marLeft w:val="1426"/>
          <w:marRight w:val="0"/>
          <w:marTop w:val="96"/>
          <w:marBottom w:val="0"/>
          <w:divBdr>
            <w:top w:val="none" w:sz="0" w:space="0" w:color="auto"/>
            <w:left w:val="none" w:sz="0" w:space="0" w:color="auto"/>
            <w:bottom w:val="none" w:sz="0" w:space="0" w:color="auto"/>
            <w:right w:val="none" w:sz="0" w:space="0" w:color="auto"/>
          </w:divBdr>
        </w:div>
        <w:div w:id="1892763627">
          <w:marLeft w:val="734"/>
          <w:marRight w:val="0"/>
          <w:marTop w:val="115"/>
          <w:marBottom w:val="0"/>
          <w:divBdr>
            <w:top w:val="none" w:sz="0" w:space="0" w:color="auto"/>
            <w:left w:val="none" w:sz="0" w:space="0" w:color="auto"/>
            <w:bottom w:val="none" w:sz="0" w:space="0" w:color="auto"/>
            <w:right w:val="none" w:sz="0" w:space="0" w:color="auto"/>
          </w:divBdr>
        </w:div>
        <w:div w:id="352197303">
          <w:marLeft w:val="1426"/>
          <w:marRight w:val="0"/>
          <w:marTop w:val="96"/>
          <w:marBottom w:val="0"/>
          <w:divBdr>
            <w:top w:val="none" w:sz="0" w:space="0" w:color="auto"/>
            <w:left w:val="none" w:sz="0" w:space="0" w:color="auto"/>
            <w:bottom w:val="none" w:sz="0" w:space="0" w:color="auto"/>
            <w:right w:val="none" w:sz="0" w:space="0" w:color="auto"/>
          </w:divBdr>
        </w:div>
        <w:div w:id="1066686445">
          <w:marLeft w:val="734"/>
          <w:marRight w:val="0"/>
          <w:marTop w:val="115"/>
          <w:marBottom w:val="0"/>
          <w:divBdr>
            <w:top w:val="none" w:sz="0" w:space="0" w:color="auto"/>
            <w:left w:val="none" w:sz="0" w:space="0" w:color="auto"/>
            <w:bottom w:val="none" w:sz="0" w:space="0" w:color="auto"/>
            <w:right w:val="none" w:sz="0" w:space="0" w:color="auto"/>
          </w:divBdr>
        </w:div>
        <w:div w:id="1343435906">
          <w:marLeft w:val="734"/>
          <w:marRight w:val="0"/>
          <w:marTop w:val="154"/>
          <w:marBottom w:val="0"/>
          <w:divBdr>
            <w:top w:val="none" w:sz="0" w:space="0" w:color="auto"/>
            <w:left w:val="none" w:sz="0" w:space="0" w:color="auto"/>
            <w:bottom w:val="none" w:sz="0" w:space="0" w:color="auto"/>
            <w:right w:val="none" w:sz="0" w:space="0" w:color="auto"/>
          </w:divBdr>
        </w:div>
        <w:div w:id="701126135">
          <w:marLeft w:val="734"/>
          <w:marRight w:val="0"/>
          <w:marTop w:val="115"/>
          <w:marBottom w:val="0"/>
          <w:divBdr>
            <w:top w:val="none" w:sz="0" w:space="0" w:color="auto"/>
            <w:left w:val="none" w:sz="0" w:space="0" w:color="auto"/>
            <w:bottom w:val="none" w:sz="0" w:space="0" w:color="auto"/>
            <w:right w:val="none" w:sz="0" w:space="0" w:color="auto"/>
          </w:divBdr>
        </w:div>
        <w:div w:id="2097171921">
          <w:marLeft w:val="734"/>
          <w:marRight w:val="0"/>
          <w:marTop w:val="115"/>
          <w:marBottom w:val="0"/>
          <w:divBdr>
            <w:top w:val="none" w:sz="0" w:space="0" w:color="auto"/>
            <w:left w:val="none" w:sz="0" w:space="0" w:color="auto"/>
            <w:bottom w:val="none" w:sz="0" w:space="0" w:color="auto"/>
            <w:right w:val="none" w:sz="0" w:space="0" w:color="auto"/>
          </w:divBdr>
        </w:div>
        <w:div w:id="1329483963">
          <w:marLeft w:val="1426"/>
          <w:marRight w:val="0"/>
          <w:marTop w:val="96"/>
          <w:marBottom w:val="0"/>
          <w:divBdr>
            <w:top w:val="none" w:sz="0" w:space="0" w:color="auto"/>
            <w:left w:val="none" w:sz="0" w:space="0" w:color="auto"/>
            <w:bottom w:val="none" w:sz="0" w:space="0" w:color="auto"/>
            <w:right w:val="none" w:sz="0" w:space="0" w:color="auto"/>
          </w:divBdr>
        </w:div>
        <w:div w:id="394469682">
          <w:marLeft w:val="734"/>
          <w:marRight w:val="0"/>
          <w:marTop w:val="115"/>
          <w:marBottom w:val="0"/>
          <w:divBdr>
            <w:top w:val="none" w:sz="0" w:space="0" w:color="auto"/>
            <w:left w:val="none" w:sz="0" w:space="0" w:color="auto"/>
            <w:bottom w:val="none" w:sz="0" w:space="0" w:color="auto"/>
            <w:right w:val="none" w:sz="0" w:space="0" w:color="auto"/>
          </w:divBdr>
        </w:div>
        <w:div w:id="577592030">
          <w:marLeft w:val="1426"/>
          <w:marRight w:val="0"/>
          <w:marTop w:val="96"/>
          <w:marBottom w:val="0"/>
          <w:divBdr>
            <w:top w:val="none" w:sz="0" w:space="0" w:color="auto"/>
            <w:left w:val="none" w:sz="0" w:space="0" w:color="auto"/>
            <w:bottom w:val="none" w:sz="0" w:space="0" w:color="auto"/>
            <w:right w:val="none" w:sz="0" w:space="0" w:color="auto"/>
          </w:divBdr>
        </w:div>
        <w:div w:id="97066695">
          <w:marLeft w:val="734"/>
          <w:marRight w:val="0"/>
          <w:marTop w:val="115"/>
          <w:marBottom w:val="0"/>
          <w:divBdr>
            <w:top w:val="none" w:sz="0" w:space="0" w:color="auto"/>
            <w:left w:val="none" w:sz="0" w:space="0" w:color="auto"/>
            <w:bottom w:val="none" w:sz="0" w:space="0" w:color="auto"/>
            <w:right w:val="none" w:sz="0" w:space="0" w:color="auto"/>
          </w:divBdr>
        </w:div>
        <w:div w:id="878510974">
          <w:marLeft w:val="1426"/>
          <w:marRight w:val="0"/>
          <w:marTop w:val="96"/>
          <w:marBottom w:val="0"/>
          <w:divBdr>
            <w:top w:val="none" w:sz="0" w:space="0" w:color="auto"/>
            <w:left w:val="none" w:sz="0" w:space="0" w:color="auto"/>
            <w:bottom w:val="none" w:sz="0" w:space="0" w:color="auto"/>
            <w:right w:val="none" w:sz="0" w:space="0" w:color="auto"/>
          </w:divBdr>
        </w:div>
        <w:div w:id="381488842">
          <w:marLeft w:val="734"/>
          <w:marRight w:val="0"/>
          <w:marTop w:val="115"/>
          <w:marBottom w:val="0"/>
          <w:divBdr>
            <w:top w:val="none" w:sz="0" w:space="0" w:color="auto"/>
            <w:left w:val="none" w:sz="0" w:space="0" w:color="auto"/>
            <w:bottom w:val="none" w:sz="0" w:space="0" w:color="auto"/>
            <w:right w:val="none" w:sz="0" w:space="0" w:color="auto"/>
          </w:divBdr>
        </w:div>
        <w:div w:id="1459251731">
          <w:marLeft w:val="734"/>
          <w:marRight w:val="0"/>
          <w:marTop w:val="154"/>
          <w:marBottom w:val="0"/>
          <w:divBdr>
            <w:top w:val="none" w:sz="0" w:space="0" w:color="auto"/>
            <w:left w:val="none" w:sz="0" w:space="0" w:color="auto"/>
            <w:bottom w:val="none" w:sz="0" w:space="0" w:color="auto"/>
            <w:right w:val="none" w:sz="0" w:space="0" w:color="auto"/>
          </w:divBdr>
        </w:div>
        <w:div w:id="386301793">
          <w:marLeft w:val="734"/>
          <w:marRight w:val="0"/>
          <w:marTop w:val="115"/>
          <w:marBottom w:val="0"/>
          <w:divBdr>
            <w:top w:val="none" w:sz="0" w:space="0" w:color="auto"/>
            <w:left w:val="none" w:sz="0" w:space="0" w:color="auto"/>
            <w:bottom w:val="none" w:sz="0" w:space="0" w:color="auto"/>
            <w:right w:val="none" w:sz="0" w:space="0" w:color="auto"/>
          </w:divBdr>
        </w:div>
        <w:div w:id="332489114">
          <w:marLeft w:val="734"/>
          <w:marRight w:val="0"/>
          <w:marTop w:val="115"/>
          <w:marBottom w:val="0"/>
          <w:divBdr>
            <w:top w:val="none" w:sz="0" w:space="0" w:color="auto"/>
            <w:left w:val="none" w:sz="0" w:space="0" w:color="auto"/>
            <w:bottom w:val="none" w:sz="0" w:space="0" w:color="auto"/>
            <w:right w:val="none" w:sz="0" w:space="0" w:color="auto"/>
          </w:divBdr>
        </w:div>
        <w:div w:id="2141339314">
          <w:marLeft w:val="1426"/>
          <w:marRight w:val="0"/>
          <w:marTop w:val="96"/>
          <w:marBottom w:val="0"/>
          <w:divBdr>
            <w:top w:val="none" w:sz="0" w:space="0" w:color="auto"/>
            <w:left w:val="none" w:sz="0" w:space="0" w:color="auto"/>
            <w:bottom w:val="none" w:sz="0" w:space="0" w:color="auto"/>
            <w:right w:val="none" w:sz="0" w:space="0" w:color="auto"/>
          </w:divBdr>
        </w:div>
        <w:div w:id="1685865782">
          <w:marLeft w:val="734"/>
          <w:marRight w:val="0"/>
          <w:marTop w:val="115"/>
          <w:marBottom w:val="0"/>
          <w:divBdr>
            <w:top w:val="none" w:sz="0" w:space="0" w:color="auto"/>
            <w:left w:val="none" w:sz="0" w:space="0" w:color="auto"/>
            <w:bottom w:val="none" w:sz="0" w:space="0" w:color="auto"/>
            <w:right w:val="none" w:sz="0" w:space="0" w:color="auto"/>
          </w:divBdr>
        </w:div>
        <w:div w:id="168058233">
          <w:marLeft w:val="1426"/>
          <w:marRight w:val="0"/>
          <w:marTop w:val="96"/>
          <w:marBottom w:val="0"/>
          <w:divBdr>
            <w:top w:val="none" w:sz="0" w:space="0" w:color="auto"/>
            <w:left w:val="none" w:sz="0" w:space="0" w:color="auto"/>
            <w:bottom w:val="none" w:sz="0" w:space="0" w:color="auto"/>
            <w:right w:val="none" w:sz="0" w:space="0" w:color="auto"/>
          </w:divBdr>
        </w:div>
        <w:div w:id="2140996584">
          <w:marLeft w:val="734"/>
          <w:marRight w:val="0"/>
          <w:marTop w:val="134"/>
          <w:marBottom w:val="0"/>
          <w:divBdr>
            <w:top w:val="none" w:sz="0" w:space="0" w:color="auto"/>
            <w:left w:val="none" w:sz="0" w:space="0" w:color="auto"/>
            <w:bottom w:val="none" w:sz="0" w:space="0" w:color="auto"/>
            <w:right w:val="none" w:sz="0" w:space="0" w:color="auto"/>
          </w:divBdr>
        </w:div>
        <w:div w:id="1072772534">
          <w:marLeft w:val="1426"/>
          <w:marRight w:val="0"/>
          <w:marTop w:val="96"/>
          <w:marBottom w:val="0"/>
          <w:divBdr>
            <w:top w:val="none" w:sz="0" w:space="0" w:color="auto"/>
            <w:left w:val="none" w:sz="0" w:space="0" w:color="auto"/>
            <w:bottom w:val="none" w:sz="0" w:space="0" w:color="auto"/>
            <w:right w:val="none" w:sz="0" w:space="0" w:color="auto"/>
          </w:divBdr>
        </w:div>
        <w:div w:id="1994024745">
          <w:marLeft w:val="734"/>
          <w:marRight w:val="0"/>
          <w:marTop w:val="115"/>
          <w:marBottom w:val="0"/>
          <w:divBdr>
            <w:top w:val="none" w:sz="0" w:space="0" w:color="auto"/>
            <w:left w:val="none" w:sz="0" w:space="0" w:color="auto"/>
            <w:bottom w:val="none" w:sz="0" w:space="0" w:color="auto"/>
            <w:right w:val="none" w:sz="0" w:space="0" w:color="auto"/>
          </w:divBdr>
        </w:div>
        <w:div w:id="1940092139">
          <w:marLeft w:val="734"/>
          <w:marRight w:val="0"/>
          <w:marTop w:val="144"/>
          <w:marBottom w:val="0"/>
          <w:divBdr>
            <w:top w:val="none" w:sz="0" w:space="0" w:color="auto"/>
            <w:left w:val="none" w:sz="0" w:space="0" w:color="auto"/>
            <w:bottom w:val="none" w:sz="0" w:space="0" w:color="auto"/>
            <w:right w:val="none" w:sz="0" w:space="0" w:color="auto"/>
          </w:divBdr>
        </w:div>
        <w:div w:id="1485702639">
          <w:marLeft w:val="734"/>
          <w:marRight w:val="0"/>
          <w:marTop w:val="154"/>
          <w:marBottom w:val="0"/>
          <w:divBdr>
            <w:top w:val="none" w:sz="0" w:space="0" w:color="auto"/>
            <w:left w:val="none" w:sz="0" w:space="0" w:color="auto"/>
            <w:bottom w:val="none" w:sz="0" w:space="0" w:color="auto"/>
            <w:right w:val="none" w:sz="0" w:space="0" w:color="auto"/>
          </w:divBdr>
        </w:div>
        <w:div w:id="1945570785">
          <w:marLeft w:val="734"/>
          <w:marRight w:val="0"/>
          <w:marTop w:val="115"/>
          <w:marBottom w:val="0"/>
          <w:divBdr>
            <w:top w:val="none" w:sz="0" w:space="0" w:color="auto"/>
            <w:left w:val="none" w:sz="0" w:space="0" w:color="auto"/>
            <w:bottom w:val="none" w:sz="0" w:space="0" w:color="auto"/>
            <w:right w:val="none" w:sz="0" w:space="0" w:color="auto"/>
          </w:divBdr>
        </w:div>
        <w:div w:id="857080474">
          <w:marLeft w:val="734"/>
          <w:marRight w:val="0"/>
          <w:marTop w:val="115"/>
          <w:marBottom w:val="0"/>
          <w:divBdr>
            <w:top w:val="none" w:sz="0" w:space="0" w:color="auto"/>
            <w:left w:val="none" w:sz="0" w:space="0" w:color="auto"/>
            <w:bottom w:val="none" w:sz="0" w:space="0" w:color="auto"/>
            <w:right w:val="none" w:sz="0" w:space="0" w:color="auto"/>
          </w:divBdr>
        </w:div>
        <w:div w:id="795684107">
          <w:marLeft w:val="1426"/>
          <w:marRight w:val="0"/>
          <w:marTop w:val="96"/>
          <w:marBottom w:val="0"/>
          <w:divBdr>
            <w:top w:val="none" w:sz="0" w:space="0" w:color="auto"/>
            <w:left w:val="none" w:sz="0" w:space="0" w:color="auto"/>
            <w:bottom w:val="none" w:sz="0" w:space="0" w:color="auto"/>
            <w:right w:val="none" w:sz="0" w:space="0" w:color="auto"/>
          </w:divBdr>
        </w:div>
        <w:div w:id="1971664053">
          <w:marLeft w:val="734"/>
          <w:marRight w:val="0"/>
          <w:marTop w:val="115"/>
          <w:marBottom w:val="0"/>
          <w:divBdr>
            <w:top w:val="none" w:sz="0" w:space="0" w:color="auto"/>
            <w:left w:val="none" w:sz="0" w:space="0" w:color="auto"/>
            <w:bottom w:val="none" w:sz="0" w:space="0" w:color="auto"/>
            <w:right w:val="none" w:sz="0" w:space="0" w:color="auto"/>
          </w:divBdr>
        </w:div>
        <w:div w:id="455375996">
          <w:marLeft w:val="1426"/>
          <w:marRight w:val="0"/>
          <w:marTop w:val="96"/>
          <w:marBottom w:val="0"/>
          <w:divBdr>
            <w:top w:val="none" w:sz="0" w:space="0" w:color="auto"/>
            <w:left w:val="none" w:sz="0" w:space="0" w:color="auto"/>
            <w:bottom w:val="none" w:sz="0" w:space="0" w:color="auto"/>
            <w:right w:val="none" w:sz="0" w:space="0" w:color="auto"/>
          </w:divBdr>
        </w:div>
        <w:div w:id="927156418">
          <w:marLeft w:val="734"/>
          <w:marRight w:val="0"/>
          <w:marTop w:val="115"/>
          <w:marBottom w:val="0"/>
          <w:divBdr>
            <w:top w:val="none" w:sz="0" w:space="0" w:color="auto"/>
            <w:left w:val="none" w:sz="0" w:space="0" w:color="auto"/>
            <w:bottom w:val="none" w:sz="0" w:space="0" w:color="auto"/>
            <w:right w:val="none" w:sz="0" w:space="0" w:color="auto"/>
          </w:divBdr>
        </w:div>
        <w:div w:id="1649898027">
          <w:marLeft w:val="1426"/>
          <w:marRight w:val="0"/>
          <w:marTop w:val="96"/>
          <w:marBottom w:val="0"/>
          <w:divBdr>
            <w:top w:val="none" w:sz="0" w:space="0" w:color="auto"/>
            <w:left w:val="none" w:sz="0" w:space="0" w:color="auto"/>
            <w:bottom w:val="none" w:sz="0" w:space="0" w:color="auto"/>
            <w:right w:val="none" w:sz="0" w:space="0" w:color="auto"/>
          </w:divBdr>
        </w:div>
        <w:div w:id="351566534">
          <w:marLeft w:val="734"/>
          <w:marRight w:val="0"/>
          <w:marTop w:val="115"/>
          <w:marBottom w:val="0"/>
          <w:divBdr>
            <w:top w:val="none" w:sz="0" w:space="0" w:color="auto"/>
            <w:left w:val="none" w:sz="0" w:space="0" w:color="auto"/>
            <w:bottom w:val="none" w:sz="0" w:space="0" w:color="auto"/>
            <w:right w:val="none" w:sz="0" w:space="0" w:color="auto"/>
          </w:divBdr>
        </w:div>
        <w:div w:id="157310390">
          <w:marLeft w:val="734"/>
          <w:marRight w:val="0"/>
          <w:marTop w:val="154"/>
          <w:marBottom w:val="0"/>
          <w:divBdr>
            <w:top w:val="none" w:sz="0" w:space="0" w:color="auto"/>
            <w:left w:val="none" w:sz="0" w:space="0" w:color="auto"/>
            <w:bottom w:val="none" w:sz="0" w:space="0" w:color="auto"/>
            <w:right w:val="none" w:sz="0" w:space="0" w:color="auto"/>
          </w:divBdr>
        </w:div>
        <w:div w:id="1406151069">
          <w:marLeft w:val="734"/>
          <w:marRight w:val="0"/>
          <w:marTop w:val="115"/>
          <w:marBottom w:val="0"/>
          <w:divBdr>
            <w:top w:val="none" w:sz="0" w:space="0" w:color="auto"/>
            <w:left w:val="none" w:sz="0" w:space="0" w:color="auto"/>
            <w:bottom w:val="none" w:sz="0" w:space="0" w:color="auto"/>
            <w:right w:val="none" w:sz="0" w:space="0" w:color="auto"/>
          </w:divBdr>
        </w:div>
        <w:div w:id="505940786">
          <w:marLeft w:val="734"/>
          <w:marRight w:val="0"/>
          <w:marTop w:val="115"/>
          <w:marBottom w:val="0"/>
          <w:divBdr>
            <w:top w:val="none" w:sz="0" w:space="0" w:color="auto"/>
            <w:left w:val="none" w:sz="0" w:space="0" w:color="auto"/>
            <w:bottom w:val="none" w:sz="0" w:space="0" w:color="auto"/>
            <w:right w:val="none" w:sz="0" w:space="0" w:color="auto"/>
          </w:divBdr>
        </w:div>
        <w:div w:id="729424600">
          <w:marLeft w:val="1426"/>
          <w:marRight w:val="0"/>
          <w:marTop w:val="96"/>
          <w:marBottom w:val="0"/>
          <w:divBdr>
            <w:top w:val="none" w:sz="0" w:space="0" w:color="auto"/>
            <w:left w:val="none" w:sz="0" w:space="0" w:color="auto"/>
            <w:bottom w:val="none" w:sz="0" w:space="0" w:color="auto"/>
            <w:right w:val="none" w:sz="0" w:space="0" w:color="auto"/>
          </w:divBdr>
        </w:div>
        <w:div w:id="87779983">
          <w:marLeft w:val="734"/>
          <w:marRight w:val="0"/>
          <w:marTop w:val="115"/>
          <w:marBottom w:val="0"/>
          <w:divBdr>
            <w:top w:val="none" w:sz="0" w:space="0" w:color="auto"/>
            <w:left w:val="none" w:sz="0" w:space="0" w:color="auto"/>
            <w:bottom w:val="none" w:sz="0" w:space="0" w:color="auto"/>
            <w:right w:val="none" w:sz="0" w:space="0" w:color="auto"/>
          </w:divBdr>
        </w:div>
        <w:div w:id="1413745189">
          <w:marLeft w:val="1426"/>
          <w:marRight w:val="0"/>
          <w:marTop w:val="96"/>
          <w:marBottom w:val="0"/>
          <w:divBdr>
            <w:top w:val="none" w:sz="0" w:space="0" w:color="auto"/>
            <w:left w:val="none" w:sz="0" w:space="0" w:color="auto"/>
            <w:bottom w:val="none" w:sz="0" w:space="0" w:color="auto"/>
            <w:right w:val="none" w:sz="0" w:space="0" w:color="auto"/>
          </w:divBdr>
        </w:div>
        <w:div w:id="2045979455">
          <w:marLeft w:val="734"/>
          <w:marRight w:val="0"/>
          <w:marTop w:val="115"/>
          <w:marBottom w:val="0"/>
          <w:divBdr>
            <w:top w:val="none" w:sz="0" w:space="0" w:color="auto"/>
            <w:left w:val="none" w:sz="0" w:space="0" w:color="auto"/>
            <w:bottom w:val="none" w:sz="0" w:space="0" w:color="auto"/>
            <w:right w:val="none" w:sz="0" w:space="0" w:color="auto"/>
          </w:divBdr>
        </w:div>
        <w:div w:id="983000203">
          <w:marLeft w:val="1426"/>
          <w:marRight w:val="0"/>
          <w:marTop w:val="96"/>
          <w:marBottom w:val="0"/>
          <w:divBdr>
            <w:top w:val="none" w:sz="0" w:space="0" w:color="auto"/>
            <w:left w:val="none" w:sz="0" w:space="0" w:color="auto"/>
            <w:bottom w:val="none" w:sz="0" w:space="0" w:color="auto"/>
            <w:right w:val="none" w:sz="0" w:space="0" w:color="auto"/>
          </w:divBdr>
        </w:div>
        <w:div w:id="2043896744">
          <w:marLeft w:val="734"/>
          <w:marRight w:val="0"/>
          <w:marTop w:val="115"/>
          <w:marBottom w:val="0"/>
          <w:divBdr>
            <w:top w:val="none" w:sz="0" w:space="0" w:color="auto"/>
            <w:left w:val="none" w:sz="0" w:space="0" w:color="auto"/>
            <w:bottom w:val="none" w:sz="0" w:space="0" w:color="auto"/>
            <w:right w:val="none" w:sz="0" w:space="0" w:color="auto"/>
          </w:divBdr>
        </w:div>
        <w:div w:id="337126389">
          <w:marLeft w:val="734"/>
          <w:marRight w:val="0"/>
          <w:marTop w:val="154"/>
          <w:marBottom w:val="0"/>
          <w:divBdr>
            <w:top w:val="none" w:sz="0" w:space="0" w:color="auto"/>
            <w:left w:val="none" w:sz="0" w:space="0" w:color="auto"/>
            <w:bottom w:val="none" w:sz="0" w:space="0" w:color="auto"/>
            <w:right w:val="none" w:sz="0" w:space="0" w:color="auto"/>
          </w:divBdr>
        </w:div>
        <w:div w:id="134419359">
          <w:marLeft w:val="734"/>
          <w:marRight w:val="0"/>
          <w:marTop w:val="115"/>
          <w:marBottom w:val="0"/>
          <w:divBdr>
            <w:top w:val="none" w:sz="0" w:space="0" w:color="auto"/>
            <w:left w:val="none" w:sz="0" w:space="0" w:color="auto"/>
            <w:bottom w:val="none" w:sz="0" w:space="0" w:color="auto"/>
            <w:right w:val="none" w:sz="0" w:space="0" w:color="auto"/>
          </w:divBdr>
        </w:div>
        <w:div w:id="2129935489">
          <w:marLeft w:val="734"/>
          <w:marRight w:val="0"/>
          <w:marTop w:val="115"/>
          <w:marBottom w:val="0"/>
          <w:divBdr>
            <w:top w:val="none" w:sz="0" w:space="0" w:color="auto"/>
            <w:left w:val="none" w:sz="0" w:space="0" w:color="auto"/>
            <w:bottom w:val="none" w:sz="0" w:space="0" w:color="auto"/>
            <w:right w:val="none" w:sz="0" w:space="0" w:color="auto"/>
          </w:divBdr>
        </w:div>
        <w:div w:id="1039208235">
          <w:marLeft w:val="1426"/>
          <w:marRight w:val="0"/>
          <w:marTop w:val="96"/>
          <w:marBottom w:val="0"/>
          <w:divBdr>
            <w:top w:val="none" w:sz="0" w:space="0" w:color="auto"/>
            <w:left w:val="none" w:sz="0" w:space="0" w:color="auto"/>
            <w:bottom w:val="none" w:sz="0" w:space="0" w:color="auto"/>
            <w:right w:val="none" w:sz="0" w:space="0" w:color="auto"/>
          </w:divBdr>
        </w:div>
        <w:div w:id="2070767558">
          <w:marLeft w:val="734"/>
          <w:marRight w:val="0"/>
          <w:marTop w:val="134"/>
          <w:marBottom w:val="0"/>
          <w:divBdr>
            <w:top w:val="none" w:sz="0" w:space="0" w:color="auto"/>
            <w:left w:val="none" w:sz="0" w:space="0" w:color="auto"/>
            <w:bottom w:val="none" w:sz="0" w:space="0" w:color="auto"/>
            <w:right w:val="none" w:sz="0" w:space="0" w:color="auto"/>
          </w:divBdr>
        </w:div>
        <w:div w:id="739711801">
          <w:marLeft w:val="1426"/>
          <w:marRight w:val="0"/>
          <w:marTop w:val="96"/>
          <w:marBottom w:val="0"/>
          <w:divBdr>
            <w:top w:val="none" w:sz="0" w:space="0" w:color="auto"/>
            <w:left w:val="none" w:sz="0" w:space="0" w:color="auto"/>
            <w:bottom w:val="none" w:sz="0" w:space="0" w:color="auto"/>
            <w:right w:val="none" w:sz="0" w:space="0" w:color="auto"/>
          </w:divBdr>
        </w:div>
        <w:div w:id="1310788710">
          <w:marLeft w:val="734"/>
          <w:marRight w:val="0"/>
          <w:marTop w:val="115"/>
          <w:marBottom w:val="0"/>
          <w:divBdr>
            <w:top w:val="none" w:sz="0" w:space="0" w:color="auto"/>
            <w:left w:val="none" w:sz="0" w:space="0" w:color="auto"/>
            <w:bottom w:val="none" w:sz="0" w:space="0" w:color="auto"/>
            <w:right w:val="none" w:sz="0" w:space="0" w:color="auto"/>
          </w:divBdr>
        </w:div>
        <w:div w:id="942155824">
          <w:marLeft w:val="1426"/>
          <w:marRight w:val="0"/>
          <w:marTop w:val="96"/>
          <w:marBottom w:val="0"/>
          <w:divBdr>
            <w:top w:val="none" w:sz="0" w:space="0" w:color="auto"/>
            <w:left w:val="none" w:sz="0" w:space="0" w:color="auto"/>
            <w:bottom w:val="none" w:sz="0" w:space="0" w:color="auto"/>
            <w:right w:val="none" w:sz="0" w:space="0" w:color="auto"/>
          </w:divBdr>
        </w:div>
        <w:div w:id="1857575981">
          <w:marLeft w:val="734"/>
          <w:marRight w:val="0"/>
          <w:marTop w:val="115"/>
          <w:marBottom w:val="0"/>
          <w:divBdr>
            <w:top w:val="none" w:sz="0" w:space="0" w:color="auto"/>
            <w:left w:val="none" w:sz="0" w:space="0" w:color="auto"/>
            <w:bottom w:val="none" w:sz="0" w:space="0" w:color="auto"/>
            <w:right w:val="none" w:sz="0" w:space="0" w:color="auto"/>
          </w:divBdr>
        </w:div>
        <w:div w:id="221789335">
          <w:marLeft w:val="734"/>
          <w:marRight w:val="0"/>
          <w:marTop w:val="154"/>
          <w:marBottom w:val="0"/>
          <w:divBdr>
            <w:top w:val="none" w:sz="0" w:space="0" w:color="auto"/>
            <w:left w:val="none" w:sz="0" w:space="0" w:color="auto"/>
            <w:bottom w:val="none" w:sz="0" w:space="0" w:color="auto"/>
            <w:right w:val="none" w:sz="0" w:space="0" w:color="auto"/>
          </w:divBdr>
        </w:div>
        <w:div w:id="1913924561">
          <w:marLeft w:val="734"/>
          <w:marRight w:val="0"/>
          <w:marTop w:val="115"/>
          <w:marBottom w:val="0"/>
          <w:divBdr>
            <w:top w:val="none" w:sz="0" w:space="0" w:color="auto"/>
            <w:left w:val="none" w:sz="0" w:space="0" w:color="auto"/>
            <w:bottom w:val="none" w:sz="0" w:space="0" w:color="auto"/>
            <w:right w:val="none" w:sz="0" w:space="0" w:color="auto"/>
          </w:divBdr>
        </w:div>
        <w:div w:id="773940787">
          <w:marLeft w:val="734"/>
          <w:marRight w:val="0"/>
          <w:marTop w:val="115"/>
          <w:marBottom w:val="0"/>
          <w:divBdr>
            <w:top w:val="none" w:sz="0" w:space="0" w:color="auto"/>
            <w:left w:val="none" w:sz="0" w:space="0" w:color="auto"/>
            <w:bottom w:val="none" w:sz="0" w:space="0" w:color="auto"/>
            <w:right w:val="none" w:sz="0" w:space="0" w:color="auto"/>
          </w:divBdr>
        </w:div>
        <w:div w:id="178667061">
          <w:marLeft w:val="1426"/>
          <w:marRight w:val="0"/>
          <w:marTop w:val="96"/>
          <w:marBottom w:val="0"/>
          <w:divBdr>
            <w:top w:val="none" w:sz="0" w:space="0" w:color="auto"/>
            <w:left w:val="none" w:sz="0" w:space="0" w:color="auto"/>
            <w:bottom w:val="none" w:sz="0" w:space="0" w:color="auto"/>
            <w:right w:val="none" w:sz="0" w:space="0" w:color="auto"/>
          </w:divBdr>
        </w:div>
        <w:div w:id="299775124">
          <w:marLeft w:val="734"/>
          <w:marRight w:val="0"/>
          <w:marTop w:val="115"/>
          <w:marBottom w:val="0"/>
          <w:divBdr>
            <w:top w:val="none" w:sz="0" w:space="0" w:color="auto"/>
            <w:left w:val="none" w:sz="0" w:space="0" w:color="auto"/>
            <w:bottom w:val="none" w:sz="0" w:space="0" w:color="auto"/>
            <w:right w:val="none" w:sz="0" w:space="0" w:color="auto"/>
          </w:divBdr>
        </w:div>
        <w:div w:id="1601522390">
          <w:marLeft w:val="1426"/>
          <w:marRight w:val="0"/>
          <w:marTop w:val="96"/>
          <w:marBottom w:val="0"/>
          <w:divBdr>
            <w:top w:val="none" w:sz="0" w:space="0" w:color="auto"/>
            <w:left w:val="none" w:sz="0" w:space="0" w:color="auto"/>
            <w:bottom w:val="none" w:sz="0" w:space="0" w:color="auto"/>
            <w:right w:val="none" w:sz="0" w:space="0" w:color="auto"/>
          </w:divBdr>
        </w:div>
        <w:div w:id="1831486116">
          <w:marLeft w:val="734"/>
          <w:marRight w:val="0"/>
          <w:marTop w:val="115"/>
          <w:marBottom w:val="0"/>
          <w:divBdr>
            <w:top w:val="none" w:sz="0" w:space="0" w:color="auto"/>
            <w:left w:val="none" w:sz="0" w:space="0" w:color="auto"/>
            <w:bottom w:val="none" w:sz="0" w:space="0" w:color="auto"/>
            <w:right w:val="none" w:sz="0" w:space="0" w:color="auto"/>
          </w:divBdr>
        </w:div>
        <w:div w:id="1183204923">
          <w:marLeft w:val="1426"/>
          <w:marRight w:val="0"/>
          <w:marTop w:val="96"/>
          <w:marBottom w:val="0"/>
          <w:divBdr>
            <w:top w:val="none" w:sz="0" w:space="0" w:color="auto"/>
            <w:left w:val="none" w:sz="0" w:space="0" w:color="auto"/>
            <w:bottom w:val="none" w:sz="0" w:space="0" w:color="auto"/>
            <w:right w:val="none" w:sz="0" w:space="0" w:color="auto"/>
          </w:divBdr>
        </w:div>
        <w:div w:id="50079458">
          <w:marLeft w:val="734"/>
          <w:marRight w:val="0"/>
          <w:marTop w:val="115"/>
          <w:marBottom w:val="0"/>
          <w:divBdr>
            <w:top w:val="none" w:sz="0" w:space="0" w:color="auto"/>
            <w:left w:val="none" w:sz="0" w:space="0" w:color="auto"/>
            <w:bottom w:val="none" w:sz="0" w:space="0" w:color="auto"/>
            <w:right w:val="none" w:sz="0" w:space="0" w:color="auto"/>
          </w:divBdr>
        </w:div>
        <w:div w:id="531379988">
          <w:marLeft w:val="734"/>
          <w:marRight w:val="0"/>
          <w:marTop w:val="173"/>
          <w:marBottom w:val="0"/>
          <w:divBdr>
            <w:top w:val="none" w:sz="0" w:space="0" w:color="auto"/>
            <w:left w:val="none" w:sz="0" w:space="0" w:color="auto"/>
            <w:bottom w:val="none" w:sz="0" w:space="0" w:color="auto"/>
            <w:right w:val="none" w:sz="0" w:space="0" w:color="auto"/>
          </w:divBdr>
        </w:div>
        <w:div w:id="1911694106">
          <w:marLeft w:val="734"/>
          <w:marRight w:val="0"/>
          <w:marTop w:val="96"/>
          <w:marBottom w:val="0"/>
          <w:divBdr>
            <w:top w:val="none" w:sz="0" w:space="0" w:color="auto"/>
            <w:left w:val="none" w:sz="0" w:space="0" w:color="auto"/>
            <w:bottom w:val="none" w:sz="0" w:space="0" w:color="auto"/>
            <w:right w:val="none" w:sz="0" w:space="0" w:color="auto"/>
          </w:divBdr>
        </w:div>
        <w:div w:id="1477528670">
          <w:marLeft w:val="1426"/>
          <w:marRight w:val="0"/>
          <w:marTop w:val="77"/>
          <w:marBottom w:val="0"/>
          <w:divBdr>
            <w:top w:val="none" w:sz="0" w:space="0" w:color="auto"/>
            <w:left w:val="none" w:sz="0" w:space="0" w:color="auto"/>
            <w:bottom w:val="none" w:sz="0" w:space="0" w:color="auto"/>
            <w:right w:val="none" w:sz="0" w:space="0" w:color="auto"/>
          </w:divBdr>
        </w:div>
        <w:div w:id="603608812">
          <w:marLeft w:val="734"/>
          <w:marRight w:val="0"/>
          <w:marTop w:val="96"/>
          <w:marBottom w:val="0"/>
          <w:divBdr>
            <w:top w:val="none" w:sz="0" w:space="0" w:color="auto"/>
            <w:left w:val="none" w:sz="0" w:space="0" w:color="auto"/>
            <w:bottom w:val="none" w:sz="0" w:space="0" w:color="auto"/>
            <w:right w:val="none" w:sz="0" w:space="0" w:color="auto"/>
          </w:divBdr>
        </w:div>
        <w:div w:id="1890192463">
          <w:marLeft w:val="1426"/>
          <w:marRight w:val="0"/>
          <w:marTop w:val="77"/>
          <w:marBottom w:val="0"/>
          <w:divBdr>
            <w:top w:val="none" w:sz="0" w:space="0" w:color="auto"/>
            <w:left w:val="none" w:sz="0" w:space="0" w:color="auto"/>
            <w:bottom w:val="none" w:sz="0" w:space="0" w:color="auto"/>
            <w:right w:val="none" w:sz="0" w:space="0" w:color="auto"/>
          </w:divBdr>
        </w:div>
        <w:div w:id="1589387015">
          <w:marLeft w:val="734"/>
          <w:marRight w:val="0"/>
          <w:marTop w:val="96"/>
          <w:marBottom w:val="0"/>
          <w:divBdr>
            <w:top w:val="none" w:sz="0" w:space="0" w:color="auto"/>
            <w:left w:val="none" w:sz="0" w:space="0" w:color="auto"/>
            <w:bottom w:val="none" w:sz="0" w:space="0" w:color="auto"/>
            <w:right w:val="none" w:sz="0" w:space="0" w:color="auto"/>
          </w:divBdr>
        </w:div>
        <w:div w:id="1970429001">
          <w:marLeft w:val="1426"/>
          <w:marRight w:val="0"/>
          <w:marTop w:val="77"/>
          <w:marBottom w:val="0"/>
          <w:divBdr>
            <w:top w:val="none" w:sz="0" w:space="0" w:color="auto"/>
            <w:left w:val="none" w:sz="0" w:space="0" w:color="auto"/>
            <w:bottom w:val="none" w:sz="0" w:space="0" w:color="auto"/>
            <w:right w:val="none" w:sz="0" w:space="0" w:color="auto"/>
          </w:divBdr>
        </w:div>
        <w:div w:id="367876154">
          <w:marLeft w:val="734"/>
          <w:marRight w:val="0"/>
          <w:marTop w:val="96"/>
          <w:marBottom w:val="0"/>
          <w:divBdr>
            <w:top w:val="none" w:sz="0" w:space="0" w:color="auto"/>
            <w:left w:val="none" w:sz="0" w:space="0" w:color="auto"/>
            <w:bottom w:val="none" w:sz="0" w:space="0" w:color="auto"/>
            <w:right w:val="none" w:sz="0" w:space="0" w:color="auto"/>
          </w:divBdr>
        </w:div>
        <w:div w:id="97992420">
          <w:marLeft w:val="1426"/>
          <w:marRight w:val="0"/>
          <w:marTop w:val="77"/>
          <w:marBottom w:val="0"/>
          <w:divBdr>
            <w:top w:val="none" w:sz="0" w:space="0" w:color="auto"/>
            <w:left w:val="none" w:sz="0" w:space="0" w:color="auto"/>
            <w:bottom w:val="none" w:sz="0" w:space="0" w:color="auto"/>
            <w:right w:val="none" w:sz="0" w:space="0" w:color="auto"/>
          </w:divBdr>
        </w:div>
        <w:div w:id="466631786">
          <w:marLeft w:val="734"/>
          <w:marRight w:val="0"/>
          <w:marTop w:val="230"/>
          <w:marBottom w:val="0"/>
          <w:divBdr>
            <w:top w:val="none" w:sz="0" w:space="0" w:color="auto"/>
            <w:left w:val="none" w:sz="0" w:space="0" w:color="auto"/>
            <w:bottom w:val="none" w:sz="0" w:space="0" w:color="auto"/>
            <w:right w:val="none" w:sz="0" w:space="0" w:color="auto"/>
          </w:divBdr>
        </w:div>
        <w:div w:id="1927108684">
          <w:marLeft w:val="734"/>
          <w:marRight w:val="0"/>
          <w:marTop w:val="134"/>
          <w:marBottom w:val="0"/>
          <w:divBdr>
            <w:top w:val="none" w:sz="0" w:space="0" w:color="auto"/>
            <w:left w:val="none" w:sz="0" w:space="0" w:color="auto"/>
            <w:bottom w:val="none" w:sz="0" w:space="0" w:color="auto"/>
            <w:right w:val="none" w:sz="0" w:space="0" w:color="auto"/>
          </w:divBdr>
        </w:div>
        <w:div w:id="440881661">
          <w:marLeft w:val="1426"/>
          <w:marRight w:val="0"/>
          <w:marTop w:val="115"/>
          <w:marBottom w:val="0"/>
          <w:divBdr>
            <w:top w:val="none" w:sz="0" w:space="0" w:color="auto"/>
            <w:left w:val="none" w:sz="0" w:space="0" w:color="auto"/>
            <w:bottom w:val="none" w:sz="0" w:space="0" w:color="auto"/>
            <w:right w:val="none" w:sz="0" w:space="0" w:color="auto"/>
          </w:divBdr>
        </w:div>
        <w:div w:id="365837718">
          <w:marLeft w:val="1426"/>
          <w:marRight w:val="0"/>
          <w:marTop w:val="115"/>
          <w:marBottom w:val="0"/>
          <w:divBdr>
            <w:top w:val="none" w:sz="0" w:space="0" w:color="auto"/>
            <w:left w:val="none" w:sz="0" w:space="0" w:color="auto"/>
            <w:bottom w:val="none" w:sz="0" w:space="0" w:color="auto"/>
            <w:right w:val="none" w:sz="0" w:space="0" w:color="auto"/>
          </w:divBdr>
        </w:div>
        <w:div w:id="1130633383">
          <w:marLeft w:val="734"/>
          <w:marRight w:val="0"/>
          <w:marTop w:val="134"/>
          <w:marBottom w:val="0"/>
          <w:divBdr>
            <w:top w:val="none" w:sz="0" w:space="0" w:color="auto"/>
            <w:left w:val="none" w:sz="0" w:space="0" w:color="auto"/>
            <w:bottom w:val="none" w:sz="0" w:space="0" w:color="auto"/>
            <w:right w:val="none" w:sz="0" w:space="0" w:color="auto"/>
          </w:divBdr>
        </w:div>
        <w:div w:id="385759828">
          <w:marLeft w:val="734"/>
          <w:marRight w:val="0"/>
          <w:marTop w:val="134"/>
          <w:marBottom w:val="0"/>
          <w:divBdr>
            <w:top w:val="none" w:sz="0" w:space="0" w:color="auto"/>
            <w:left w:val="none" w:sz="0" w:space="0" w:color="auto"/>
            <w:bottom w:val="none" w:sz="0" w:space="0" w:color="auto"/>
            <w:right w:val="none" w:sz="0" w:space="0" w:color="auto"/>
          </w:divBdr>
        </w:div>
        <w:div w:id="1431119233">
          <w:marLeft w:val="734"/>
          <w:marRight w:val="0"/>
          <w:marTop w:val="230"/>
          <w:marBottom w:val="0"/>
          <w:divBdr>
            <w:top w:val="none" w:sz="0" w:space="0" w:color="auto"/>
            <w:left w:val="none" w:sz="0" w:space="0" w:color="auto"/>
            <w:bottom w:val="none" w:sz="0" w:space="0" w:color="auto"/>
            <w:right w:val="none" w:sz="0" w:space="0" w:color="auto"/>
          </w:divBdr>
        </w:div>
        <w:div w:id="729621543">
          <w:marLeft w:val="734"/>
          <w:marRight w:val="0"/>
          <w:marTop w:val="115"/>
          <w:marBottom w:val="0"/>
          <w:divBdr>
            <w:top w:val="none" w:sz="0" w:space="0" w:color="auto"/>
            <w:left w:val="none" w:sz="0" w:space="0" w:color="auto"/>
            <w:bottom w:val="none" w:sz="0" w:space="0" w:color="auto"/>
            <w:right w:val="none" w:sz="0" w:space="0" w:color="auto"/>
          </w:divBdr>
        </w:div>
        <w:div w:id="2041777518">
          <w:marLeft w:val="1426"/>
          <w:marRight w:val="0"/>
          <w:marTop w:val="96"/>
          <w:marBottom w:val="0"/>
          <w:divBdr>
            <w:top w:val="none" w:sz="0" w:space="0" w:color="auto"/>
            <w:left w:val="none" w:sz="0" w:space="0" w:color="auto"/>
            <w:bottom w:val="none" w:sz="0" w:space="0" w:color="auto"/>
            <w:right w:val="none" w:sz="0" w:space="0" w:color="auto"/>
          </w:divBdr>
        </w:div>
        <w:div w:id="302083315">
          <w:marLeft w:val="734"/>
          <w:marRight w:val="0"/>
          <w:marTop w:val="115"/>
          <w:marBottom w:val="0"/>
          <w:divBdr>
            <w:top w:val="none" w:sz="0" w:space="0" w:color="auto"/>
            <w:left w:val="none" w:sz="0" w:space="0" w:color="auto"/>
            <w:bottom w:val="none" w:sz="0" w:space="0" w:color="auto"/>
            <w:right w:val="none" w:sz="0" w:space="0" w:color="auto"/>
          </w:divBdr>
        </w:div>
        <w:div w:id="1955555412">
          <w:marLeft w:val="1426"/>
          <w:marRight w:val="0"/>
          <w:marTop w:val="96"/>
          <w:marBottom w:val="0"/>
          <w:divBdr>
            <w:top w:val="none" w:sz="0" w:space="0" w:color="auto"/>
            <w:left w:val="none" w:sz="0" w:space="0" w:color="auto"/>
            <w:bottom w:val="none" w:sz="0" w:space="0" w:color="auto"/>
            <w:right w:val="none" w:sz="0" w:space="0" w:color="auto"/>
          </w:divBdr>
        </w:div>
        <w:div w:id="1319529502">
          <w:marLeft w:val="1426"/>
          <w:marRight w:val="0"/>
          <w:marTop w:val="96"/>
          <w:marBottom w:val="0"/>
          <w:divBdr>
            <w:top w:val="none" w:sz="0" w:space="0" w:color="auto"/>
            <w:left w:val="none" w:sz="0" w:space="0" w:color="auto"/>
            <w:bottom w:val="none" w:sz="0" w:space="0" w:color="auto"/>
            <w:right w:val="none" w:sz="0" w:space="0" w:color="auto"/>
          </w:divBdr>
        </w:div>
        <w:div w:id="1445879421">
          <w:marLeft w:val="1426"/>
          <w:marRight w:val="0"/>
          <w:marTop w:val="96"/>
          <w:marBottom w:val="0"/>
          <w:divBdr>
            <w:top w:val="none" w:sz="0" w:space="0" w:color="auto"/>
            <w:left w:val="none" w:sz="0" w:space="0" w:color="auto"/>
            <w:bottom w:val="none" w:sz="0" w:space="0" w:color="auto"/>
            <w:right w:val="none" w:sz="0" w:space="0" w:color="auto"/>
          </w:divBdr>
        </w:div>
        <w:div w:id="332296959">
          <w:marLeft w:val="1426"/>
          <w:marRight w:val="0"/>
          <w:marTop w:val="96"/>
          <w:marBottom w:val="0"/>
          <w:divBdr>
            <w:top w:val="none" w:sz="0" w:space="0" w:color="auto"/>
            <w:left w:val="none" w:sz="0" w:space="0" w:color="auto"/>
            <w:bottom w:val="none" w:sz="0" w:space="0" w:color="auto"/>
            <w:right w:val="none" w:sz="0" w:space="0" w:color="auto"/>
          </w:divBdr>
        </w:div>
        <w:div w:id="1614287486">
          <w:marLeft w:val="1426"/>
          <w:marRight w:val="0"/>
          <w:marTop w:val="96"/>
          <w:marBottom w:val="0"/>
          <w:divBdr>
            <w:top w:val="none" w:sz="0" w:space="0" w:color="auto"/>
            <w:left w:val="none" w:sz="0" w:space="0" w:color="auto"/>
            <w:bottom w:val="none" w:sz="0" w:space="0" w:color="auto"/>
            <w:right w:val="none" w:sz="0" w:space="0" w:color="auto"/>
          </w:divBdr>
        </w:div>
      </w:divsChild>
    </w:div>
    <w:div w:id="210410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A3395-64CB-4403-AD9F-10C7991BD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5771</Words>
  <Characters>32896</Characters>
  <Application>Microsoft Office Word</Application>
  <DocSecurity>0</DocSecurity>
  <Lines>274</Lines>
  <Paragraphs>77</Paragraphs>
  <ScaleCrop>false</ScaleCrop>
  <Company/>
  <LinksUpToDate>false</LinksUpToDate>
  <CharactersWithSpaces>38590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LisaSkumatz</dc:creator>
  <cp:lastModifiedBy>Lisa Skumatz</cp:lastModifiedBy>
  <cp:revision>2</cp:revision>
  <cp:lastPrinted>2021-01-22T02:54:00Z</cp:lastPrinted>
  <dcterms:created xsi:type="dcterms:W3CDTF">2021-07-12T11:08:00Z</dcterms:created>
  <dcterms:modified xsi:type="dcterms:W3CDTF">2021-07-12T11:08:00Z</dcterms:modified>
</cp:coreProperties>
</file>